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line="560" w:lineRule="exact"/>
        <w:ind w:firstLine="33" w:firstLineChars="14"/>
        <w:jc w:val="right"/>
        <w:rPr>
          <w:rFonts w:hint="eastAsia" w:ascii="仿宋" w:hAnsi="仿宋" w:cs="仿宋"/>
          <w:szCs w:val="21"/>
        </w:rPr>
      </w:pPr>
    </w:p>
    <w:p>
      <w:pPr>
        <w:adjustRightInd w:val="0"/>
        <w:snapToGrid w:val="0"/>
        <w:spacing w:before="0" w:line="560" w:lineRule="exact"/>
        <w:ind w:firstLine="33" w:firstLineChars="14"/>
        <w:jc w:val="center"/>
        <w:rPr>
          <w:rFonts w:hint="eastAsia" w:ascii="宋体" w:hAnsi="宋体" w:eastAsia="宋体" w:cs="仿宋"/>
          <w:szCs w:val="21"/>
        </w:rPr>
      </w:pPr>
    </w:p>
    <w:p>
      <w:pPr>
        <w:adjustRightInd w:val="0"/>
        <w:snapToGrid w:val="0"/>
        <w:spacing w:before="0" w:line="560" w:lineRule="exact"/>
        <w:ind w:firstLine="33" w:firstLineChars="14"/>
        <w:jc w:val="center"/>
        <w:rPr>
          <w:rFonts w:hint="eastAsia" w:ascii="宋体" w:hAnsi="宋体" w:eastAsia="宋体" w:cs="仿宋"/>
          <w:szCs w:val="21"/>
        </w:rPr>
      </w:pPr>
    </w:p>
    <w:p>
      <w:pPr>
        <w:adjustRightInd w:val="0"/>
        <w:snapToGrid w:val="0"/>
        <w:spacing w:before="0" w:line="560" w:lineRule="exact"/>
        <w:ind w:firstLine="33" w:firstLineChars="14"/>
        <w:jc w:val="center"/>
        <w:rPr>
          <w:rFonts w:hint="eastAsia" w:ascii="宋体" w:hAnsi="宋体" w:eastAsia="宋体" w:cs="仿宋"/>
          <w:szCs w:val="21"/>
        </w:rPr>
      </w:pPr>
    </w:p>
    <w:p>
      <w:pPr>
        <w:adjustRightInd w:val="0"/>
        <w:snapToGrid w:val="0"/>
        <w:spacing w:before="468" w:beforeLines="150" w:line="560" w:lineRule="exact"/>
        <w:ind w:firstLine="62" w:firstLineChars="14"/>
        <w:jc w:val="center"/>
        <w:rPr>
          <w:rFonts w:hint="eastAsia" w:ascii="宋体" w:hAnsi="宋体" w:eastAsia="宋体" w:cs="仿宋"/>
          <w:szCs w:val="21"/>
        </w:rPr>
      </w:pPr>
      <w:r>
        <w:rPr>
          <w:rFonts w:hint="eastAsia" w:ascii="等线 Light" w:hAnsi="等线 Light" w:eastAsia="黑体" w:cs="Times New Roman"/>
          <w:b/>
          <w:bCs/>
          <w:sz w:val="44"/>
          <w:szCs w:val="32"/>
          <w:lang w:eastAsia="zh"/>
        </w:rPr>
        <w:t>中国机械总院</w:t>
      </w:r>
      <w:r>
        <w:rPr>
          <w:rFonts w:hint="eastAsia" w:ascii="等线 Light" w:hAnsi="等线 Light" w:eastAsia="黑体" w:cs="Times New Roman"/>
          <w:b/>
          <w:bCs/>
          <w:sz w:val="44"/>
          <w:szCs w:val="32"/>
        </w:rPr>
        <w:t>“十五五”网络安全和信息化规划编制服务项目</w:t>
      </w:r>
    </w:p>
    <w:p>
      <w:pPr>
        <w:adjustRightInd w:val="0"/>
        <w:snapToGrid w:val="0"/>
        <w:spacing w:before="468" w:beforeLines="150" w:line="560" w:lineRule="exact"/>
        <w:jc w:val="left"/>
        <w:rPr>
          <w:rFonts w:hint="eastAsia" w:ascii="宋体" w:hAnsi="宋体" w:eastAsia="宋体" w:cs="仿宋"/>
          <w:szCs w:val="21"/>
        </w:rPr>
      </w:pPr>
    </w:p>
    <w:p>
      <w:pPr>
        <w:adjustRightInd w:val="0"/>
        <w:snapToGrid w:val="0"/>
        <w:spacing w:before="468" w:beforeLines="150" w:line="560" w:lineRule="exact"/>
        <w:jc w:val="center"/>
        <w:outlineLvl w:val="1"/>
        <w:rPr>
          <w:rFonts w:hint="eastAsia" w:ascii="宋体" w:hAnsi="宋体" w:eastAsia="宋体" w:cs="仿宋"/>
          <w:szCs w:val="21"/>
        </w:rPr>
      </w:pPr>
      <w:r>
        <w:rPr>
          <w:rFonts w:hint="eastAsia" w:ascii="黑体" w:hAnsi="黑体" w:eastAsia="黑体" w:cs="黑体"/>
          <w:b/>
          <w:bCs/>
          <w:sz w:val="72"/>
          <w:szCs w:val="72"/>
        </w:rPr>
        <w:t>招标文件</w:t>
      </w:r>
    </w:p>
    <w:p>
      <w:pPr>
        <w:adjustRightInd w:val="0"/>
        <w:snapToGrid w:val="0"/>
        <w:spacing w:before="0" w:line="560" w:lineRule="exact"/>
        <w:ind w:firstLine="33" w:firstLineChars="14"/>
        <w:jc w:val="center"/>
        <w:rPr>
          <w:rFonts w:hint="eastAsia" w:ascii="宋体" w:hAnsi="宋体" w:eastAsia="宋体" w:cs="仿宋"/>
          <w:szCs w:val="21"/>
        </w:rPr>
      </w:pPr>
    </w:p>
    <w:p>
      <w:pPr>
        <w:adjustRightInd w:val="0"/>
        <w:snapToGrid w:val="0"/>
        <w:spacing w:before="0" w:line="560" w:lineRule="exact"/>
        <w:rPr>
          <w:rFonts w:hint="eastAsia" w:ascii="宋体" w:hAnsi="宋体" w:eastAsia="宋体" w:cs="仿宋"/>
          <w:szCs w:val="21"/>
        </w:rPr>
      </w:pPr>
    </w:p>
    <w:p>
      <w:pPr>
        <w:adjustRightInd w:val="0"/>
        <w:snapToGrid w:val="0"/>
        <w:spacing w:before="0" w:line="560" w:lineRule="exact"/>
        <w:ind w:firstLine="33" w:firstLineChars="14"/>
        <w:jc w:val="center"/>
        <w:rPr>
          <w:rFonts w:hint="eastAsia" w:ascii="宋体" w:hAnsi="宋体" w:eastAsia="宋体" w:cs="仿宋"/>
          <w:szCs w:val="21"/>
        </w:rPr>
      </w:pPr>
      <w:r>
        <w:rPr>
          <w:rFonts w:ascii="宋体" w:hAnsi="宋体" w:eastAsia="宋体" w:cs="仿宋"/>
          <w:szCs w:val="21"/>
        </w:rPr>
        <w:drawing>
          <wp:anchor distT="0" distB="0" distL="114300" distR="114300" simplePos="0" relativeHeight="251660288" behindDoc="0" locked="0" layoutInCell="1" allowOverlap="1">
            <wp:simplePos x="0" y="0"/>
            <wp:positionH relativeFrom="column">
              <wp:posOffset>1588770</wp:posOffset>
            </wp:positionH>
            <wp:positionV relativeFrom="paragraph">
              <wp:posOffset>351790</wp:posOffset>
            </wp:positionV>
            <wp:extent cx="2186305" cy="1458595"/>
            <wp:effectExtent l="0" t="0" r="8255"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2186305" cy="1458595"/>
                    </a:xfrm>
                    <a:prstGeom prst="rect">
                      <a:avLst/>
                    </a:prstGeom>
                    <a:noFill/>
                    <a:ln>
                      <a:noFill/>
                    </a:ln>
                  </pic:spPr>
                </pic:pic>
              </a:graphicData>
            </a:graphic>
          </wp:anchor>
        </w:drawing>
      </w:r>
    </w:p>
    <w:p>
      <w:pPr>
        <w:adjustRightInd w:val="0"/>
        <w:snapToGrid w:val="0"/>
        <w:spacing w:before="0" w:line="560" w:lineRule="exact"/>
        <w:rPr>
          <w:rFonts w:hint="eastAsia" w:ascii="宋体" w:hAnsi="宋体" w:eastAsia="宋体" w:cs="仿宋"/>
          <w:szCs w:val="21"/>
        </w:rPr>
      </w:pPr>
    </w:p>
    <w:p>
      <w:pPr>
        <w:adjustRightInd w:val="0"/>
        <w:snapToGrid w:val="0"/>
        <w:spacing w:before="0" w:line="560" w:lineRule="exact"/>
        <w:ind w:firstLine="33" w:firstLineChars="14"/>
        <w:jc w:val="center"/>
        <w:rPr>
          <w:rFonts w:hint="eastAsia" w:ascii="宋体" w:hAnsi="宋体" w:eastAsia="宋体" w:cs="仿宋"/>
          <w:szCs w:val="21"/>
        </w:rPr>
      </w:pPr>
    </w:p>
    <w:p>
      <w:pPr>
        <w:adjustRightInd w:val="0"/>
        <w:snapToGrid w:val="0"/>
        <w:spacing w:before="0" w:line="560" w:lineRule="exact"/>
        <w:ind w:firstLine="45" w:firstLineChars="14"/>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招标人：中国机械科学研究总院集团有限公司</w:t>
      </w:r>
    </w:p>
    <w:p>
      <w:pPr>
        <w:adjustRightInd w:val="0"/>
        <w:snapToGrid w:val="0"/>
        <w:spacing w:before="0" w:line="560" w:lineRule="exact"/>
        <w:ind w:firstLine="45" w:firstLineChars="14"/>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2026年7月</w:t>
      </w:r>
    </w:p>
    <w:p>
      <w:pPr>
        <w:adjustRightInd w:val="0"/>
        <w:snapToGrid w:val="0"/>
        <w:spacing w:before="0" w:line="560" w:lineRule="exact"/>
        <w:jc w:val="center"/>
        <w:sectPr>
          <w:headerReference r:id="rId6" w:type="first"/>
          <w:footerReference r:id="rId7" w:type="default"/>
          <w:headerReference r:id="rId5" w:type="even"/>
          <w:pgSz w:w="11906" w:h="16838"/>
          <w:pgMar w:top="1440" w:right="1800" w:bottom="1440" w:left="1800" w:header="851" w:footer="992" w:gutter="0"/>
          <w:cols w:space="425" w:num="1"/>
          <w:docGrid w:type="lines" w:linePitch="312" w:charSpace="0"/>
        </w:sectPr>
      </w:pPr>
    </w:p>
    <w:p>
      <w:pPr>
        <w:adjustRightInd w:val="0"/>
        <w:snapToGrid w:val="0"/>
        <w:spacing w:before="0" w:line="560" w:lineRule="exact"/>
        <w:ind w:firstLine="62" w:firstLineChars="14"/>
        <w:jc w:val="center"/>
        <w:rPr>
          <w:rFonts w:hint="eastAsia" w:ascii="等线 Light" w:hAnsi="等线 Light" w:eastAsia="黑体" w:cs="Times New Roman"/>
          <w:b/>
          <w:bCs/>
          <w:sz w:val="44"/>
          <w:szCs w:val="32"/>
        </w:rPr>
      </w:pPr>
      <w:r>
        <w:rPr>
          <w:rFonts w:hint="eastAsia" w:ascii="等线 Light" w:hAnsi="等线 Light" w:eastAsia="黑体" w:cs="Times New Roman"/>
          <w:b/>
          <w:bCs/>
          <w:sz w:val="44"/>
          <w:szCs w:val="32"/>
        </w:rPr>
        <w:t>目录</w:t>
      </w:r>
    </w:p>
    <w:p>
      <w:pPr>
        <w:pStyle w:val="7"/>
        <w:tabs>
          <w:tab w:val="right" w:leader="dot" w:pos="8306"/>
        </w:tabs>
      </w:pPr>
      <w:r>
        <w:rPr>
          <w:rFonts w:ascii="等线" w:hAnsi="宋体" w:eastAsia="等线" w:cs="仿宋"/>
          <w:b/>
          <w:bCs/>
          <w:caps/>
          <w:sz w:val="20"/>
          <w:szCs w:val="20"/>
        </w:rPr>
        <w:fldChar w:fldCharType="begin"/>
      </w:r>
      <w:r>
        <w:rPr>
          <w:rFonts w:ascii="等线" w:hAnsi="宋体" w:eastAsia="等线" w:cs="仿宋"/>
          <w:b/>
          <w:bCs/>
          <w:caps/>
          <w:sz w:val="20"/>
          <w:szCs w:val="20"/>
        </w:rPr>
        <w:instrText xml:space="preserve"> TOC \o "1-1" \h \z \u </w:instrText>
      </w:r>
      <w:r>
        <w:rPr>
          <w:rFonts w:ascii="等线" w:hAnsi="宋体" w:eastAsia="等线" w:cs="仿宋"/>
          <w:b/>
          <w:bCs/>
          <w:caps/>
          <w:sz w:val="20"/>
          <w:szCs w:val="20"/>
        </w:rPr>
        <w:fldChar w:fldCharType="separate"/>
      </w:r>
      <w:r>
        <w:rPr>
          <w:rFonts w:ascii="宋体" w:hAnsi="宋体" w:eastAsia="宋体" w:cs="仿宋"/>
          <w:szCs w:val="21"/>
        </w:rPr>
        <w:fldChar w:fldCharType="begin"/>
      </w:r>
      <w:r>
        <w:rPr>
          <w:rFonts w:ascii="宋体" w:hAnsi="宋体" w:eastAsia="宋体" w:cs="仿宋"/>
          <w:szCs w:val="21"/>
        </w:rPr>
        <w:instrText xml:space="preserve"> HYPERLINK \l _Toc21450 </w:instrText>
      </w:r>
      <w:r>
        <w:rPr>
          <w:rFonts w:ascii="宋体" w:hAnsi="宋体" w:eastAsia="宋体" w:cs="仿宋"/>
          <w:szCs w:val="21"/>
        </w:rPr>
        <w:fldChar w:fldCharType="separate"/>
      </w:r>
      <w:r>
        <w:rPr>
          <w:rFonts w:hint="eastAsia" w:ascii="Times New Roman" w:hAnsi="Times New Roman" w:cs="Times New Roman"/>
        </w:rPr>
        <w:t xml:space="preserve">第一章 </w:t>
      </w:r>
      <w:r>
        <w:rPr>
          <w:rFonts w:hint="eastAsia" w:ascii="Times New Roman" w:hAnsi="Times New Roman" w:cs="Times New Roman"/>
          <w:lang w:eastAsia="zh"/>
        </w:rPr>
        <w:t>公开</w:t>
      </w:r>
      <w:r>
        <w:rPr>
          <w:rFonts w:hint="eastAsia" w:ascii="Times New Roman" w:hAnsi="Times New Roman" w:cs="Times New Roman"/>
        </w:rPr>
        <w:t>招标</w:t>
      </w:r>
      <w:r>
        <w:rPr>
          <w:rFonts w:hint="eastAsia" w:ascii="Times New Roman" w:hAnsi="Times New Roman" w:cs="Times New Roman"/>
          <w:lang w:eastAsia="zh"/>
        </w:rPr>
        <w:t>通知</w:t>
      </w:r>
      <w:r>
        <w:rPr>
          <w:rFonts w:hint="eastAsia" w:ascii="Times New Roman" w:hAnsi="Times New Roman" w:cs="Times New Roman"/>
        </w:rPr>
        <w:t>书</w:t>
      </w:r>
      <w:r>
        <w:tab/>
      </w:r>
      <w:r>
        <w:fldChar w:fldCharType="begin"/>
      </w:r>
      <w:r>
        <w:instrText xml:space="preserve"> PAGEREF _Toc21450 \h </w:instrText>
      </w:r>
      <w:r>
        <w:fldChar w:fldCharType="separate"/>
      </w:r>
      <w:r>
        <w:t>2</w:t>
      </w:r>
      <w:r>
        <w:fldChar w:fldCharType="end"/>
      </w:r>
      <w:r>
        <w:rPr>
          <w:rFonts w:ascii="宋体" w:hAnsi="宋体" w:eastAsia="宋体" w:cs="仿宋"/>
          <w:szCs w:val="21"/>
        </w:rPr>
        <w:fldChar w:fldCharType="end"/>
      </w:r>
    </w:p>
    <w:p>
      <w:pPr>
        <w:pStyle w:val="7"/>
        <w:tabs>
          <w:tab w:val="right" w:leader="dot" w:pos="8306"/>
        </w:tabs>
      </w:pPr>
      <w:r>
        <w:rPr>
          <w:rFonts w:ascii="宋体" w:hAnsi="宋体" w:eastAsia="宋体" w:cs="仿宋"/>
          <w:szCs w:val="21"/>
        </w:rPr>
        <w:fldChar w:fldCharType="begin"/>
      </w:r>
      <w:r>
        <w:rPr>
          <w:rFonts w:ascii="宋体" w:hAnsi="宋体" w:eastAsia="宋体" w:cs="仿宋"/>
          <w:szCs w:val="21"/>
        </w:rPr>
        <w:instrText xml:space="preserve"> HYPERLINK \l _Toc30868 </w:instrText>
      </w:r>
      <w:r>
        <w:rPr>
          <w:rFonts w:ascii="宋体" w:hAnsi="宋体" w:eastAsia="宋体" w:cs="仿宋"/>
          <w:szCs w:val="21"/>
        </w:rPr>
        <w:fldChar w:fldCharType="separate"/>
      </w:r>
      <w:r>
        <w:rPr>
          <w:rFonts w:hint="eastAsia" w:ascii="等线" w:hAnsi="等线" w:cs="Times New Roman"/>
        </w:rPr>
        <w:t>第二章 投标人须知</w:t>
      </w:r>
      <w:r>
        <w:tab/>
      </w:r>
      <w:r>
        <w:fldChar w:fldCharType="begin"/>
      </w:r>
      <w:r>
        <w:instrText xml:space="preserve"> PAGEREF _Toc30868 \h </w:instrText>
      </w:r>
      <w:r>
        <w:fldChar w:fldCharType="separate"/>
      </w:r>
      <w:r>
        <w:t>5</w:t>
      </w:r>
      <w:r>
        <w:fldChar w:fldCharType="end"/>
      </w:r>
      <w:r>
        <w:rPr>
          <w:rFonts w:ascii="宋体" w:hAnsi="宋体" w:eastAsia="宋体" w:cs="仿宋"/>
          <w:szCs w:val="21"/>
        </w:rPr>
        <w:fldChar w:fldCharType="end"/>
      </w:r>
    </w:p>
    <w:p>
      <w:pPr>
        <w:pStyle w:val="7"/>
        <w:tabs>
          <w:tab w:val="right" w:leader="dot" w:pos="8306"/>
        </w:tabs>
      </w:pPr>
      <w:r>
        <w:rPr>
          <w:rFonts w:ascii="宋体" w:hAnsi="宋体" w:eastAsia="宋体" w:cs="仿宋"/>
          <w:szCs w:val="21"/>
        </w:rPr>
        <w:fldChar w:fldCharType="begin"/>
      </w:r>
      <w:r>
        <w:rPr>
          <w:rFonts w:ascii="宋体" w:hAnsi="宋体" w:eastAsia="宋体" w:cs="仿宋"/>
          <w:szCs w:val="21"/>
        </w:rPr>
        <w:instrText xml:space="preserve"> HYPERLINK \l _Toc18501 </w:instrText>
      </w:r>
      <w:r>
        <w:rPr>
          <w:rFonts w:ascii="宋体" w:hAnsi="宋体" w:eastAsia="宋体" w:cs="仿宋"/>
          <w:szCs w:val="21"/>
        </w:rPr>
        <w:fldChar w:fldCharType="separate"/>
      </w:r>
      <w:r>
        <w:rPr>
          <w:rFonts w:hint="eastAsia" w:ascii="等线" w:hAnsi="等线" w:cs="Times New Roman"/>
        </w:rPr>
        <w:t>第三章 评标办法</w:t>
      </w:r>
      <w:r>
        <w:tab/>
      </w:r>
      <w:r>
        <w:fldChar w:fldCharType="begin"/>
      </w:r>
      <w:r>
        <w:instrText xml:space="preserve"> PAGEREF _Toc18501 \h </w:instrText>
      </w:r>
      <w:r>
        <w:fldChar w:fldCharType="separate"/>
      </w:r>
      <w:r>
        <w:t>17</w:t>
      </w:r>
      <w:r>
        <w:fldChar w:fldCharType="end"/>
      </w:r>
      <w:r>
        <w:rPr>
          <w:rFonts w:ascii="宋体" w:hAnsi="宋体" w:eastAsia="宋体" w:cs="仿宋"/>
          <w:szCs w:val="21"/>
        </w:rPr>
        <w:fldChar w:fldCharType="end"/>
      </w:r>
    </w:p>
    <w:p>
      <w:pPr>
        <w:pStyle w:val="7"/>
        <w:tabs>
          <w:tab w:val="right" w:leader="dot" w:pos="8306"/>
        </w:tabs>
      </w:pPr>
      <w:r>
        <w:rPr>
          <w:rFonts w:ascii="宋体" w:hAnsi="宋体" w:eastAsia="宋体" w:cs="仿宋"/>
          <w:szCs w:val="21"/>
        </w:rPr>
        <w:fldChar w:fldCharType="begin"/>
      </w:r>
      <w:r>
        <w:rPr>
          <w:rFonts w:ascii="宋体" w:hAnsi="宋体" w:eastAsia="宋体" w:cs="仿宋"/>
          <w:szCs w:val="21"/>
        </w:rPr>
        <w:instrText xml:space="preserve"> HYPERLINK \l _Toc3572 </w:instrText>
      </w:r>
      <w:r>
        <w:rPr>
          <w:rFonts w:ascii="宋体" w:hAnsi="宋体" w:eastAsia="宋体" w:cs="仿宋"/>
          <w:szCs w:val="21"/>
        </w:rPr>
        <w:fldChar w:fldCharType="separate"/>
      </w:r>
      <w:r>
        <w:rPr>
          <w:rFonts w:hint="eastAsia" w:ascii="等线" w:hAnsi="等线" w:cs="Times New Roman"/>
        </w:rPr>
        <w:t>第四章 项目需求书</w:t>
      </w:r>
      <w:r>
        <w:tab/>
      </w:r>
      <w:r>
        <w:fldChar w:fldCharType="begin"/>
      </w:r>
      <w:r>
        <w:instrText xml:space="preserve"> PAGEREF _Toc3572 \h </w:instrText>
      </w:r>
      <w:r>
        <w:fldChar w:fldCharType="separate"/>
      </w:r>
      <w:r>
        <w:t>27</w:t>
      </w:r>
      <w:r>
        <w:fldChar w:fldCharType="end"/>
      </w:r>
      <w:r>
        <w:rPr>
          <w:rFonts w:ascii="宋体" w:hAnsi="宋体" w:eastAsia="宋体" w:cs="仿宋"/>
          <w:szCs w:val="21"/>
        </w:rPr>
        <w:fldChar w:fldCharType="end"/>
      </w:r>
    </w:p>
    <w:p>
      <w:pPr>
        <w:pStyle w:val="7"/>
        <w:tabs>
          <w:tab w:val="right" w:leader="dot" w:pos="8306"/>
        </w:tabs>
      </w:pPr>
      <w:r>
        <w:rPr>
          <w:rFonts w:ascii="宋体" w:hAnsi="宋体" w:eastAsia="宋体" w:cs="仿宋"/>
          <w:szCs w:val="21"/>
        </w:rPr>
        <w:fldChar w:fldCharType="begin"/>
      </w:r>
      <w:r>
        <w:rPr>
          <w:rFonts w:ascii="宋体" w:hAnsi="宋体" w:eastAsia="宋体" w:cs="仿宋"/>
          <w:szCs w:val="21"/>
        </w:rPr>
        <w:instrText xml:space="preserve"> HYPERLINK \l _Toc4558 </w:instrText>
      </w:r>
      <w:r>
        <w:rPr>
          <w:rFonts w:ascii="宋体" w:hAnsi="宋体" w:eastAsia="宋体" w:cs="仿宋"/>
          <w:szCs w:val="21"/>
        </w:rPr>
        <w:fldChar w:fldCharType="separate"/>
      </w:r>
      <w:r>
        <w:rPr>
          <w:rFonts w:hint="eastAsia" w:ascii="Times New Roman" w:hAnsi="Times New Roman" w:cs="Times New Roman"/>
        </w:rPr>
        <w:t>第五章 投标文件格式</w:t>
      </w:r>
      <w:r>
        <w:tab/>
      </w:r>
      <w:r>
        <w:fldChar w:fldCharType="begin"/>
      </w:r>
      <w:r>
        <w:instrText xml:space="preserve"> PAGEREF _Toc4558 \h </w:instrText>
      </w:r>
      <w:r>
        <w:fldChar w:fldCharType="separate"/>
      </w:r>
      <w:r>
        <w:t>31</w:t>
      </w:r>
      <w:r>
        <w:fldChar w:fldCharType="end"/>
      </w:r>
      <w:r>
        <w:rPr>
          <w:rFonts w:ascii="宋体" w:hAnsi="宋体" w:eastAsia="宋体" w:cs="仿宋"/>
          <w:szCs w:val="21"/>
        </w:rPr>
        <w:fldChar w:fldCharType="end"/>
      </w:r>
    </w:p>
    <w:p>
      <w:pPr>
        <w:pStyle w:val="7"/>
        <w:tabs>
          <w:tab w:val="right" w:leader="dot" w:pos="8306"/>
        </w:tabs>
      </w:pPr>
      <w:r>
        <w:rPr>
          <w:rFonts w:ascii="宋体" w:hAnsi="宋体" w:eastAsia="宋体" w:cs="仿宋"/>
          <w:szCs w:val="21"/>
        </w:rPr>
        <w:fldChar w:fldCharType="begin"/>
      </w:r>
      <w:r>
        <w:rPr>
          <w:rFonts w:ascii="宋体" w:hAnsi="宋体" w:eastAsia="宋体" w:cs="仿宋"/>
          <w:szCs w:val="21"/>
        </w:rPr>
        <w:instrText xml:space="preserve"> HYPERLINK \l _Toc28156 </w:instrText>
      </w:r>
      <w:r>
        <w:rPr>
          <w:rFonts w:ascii="宋体" w:hAnsi="宋体" w:eastAsia="宋体" w:cs="仿宋"/>
          <w:szCs w:val="21"/>
        </w:rPr>
        <w:fldChar w:fldCharType="separate"/>
      </w:r>
      <w:r>
        <w:rPr>
          <w:rFonts w:hint="eastAsia" w:ascii="Times New Roman" w:hAnsi="Times New Roman" w:cs="Times New Roman"/>
        </w:rPr>
        <w:t>第六章 合同范本</w:t>
      </w:r>
      <w:r>
        <w:tab/>
      </w:r>
      <w:r>
        <w:fldChar w:fldCharType="begin"/>
      </w:r>
      <w:r>
        <w:instrText xml:space="preserve"> PAGEREF _Toc28156 \h </w:instrText>
      </w:r>
      <w:r>
        <w:fldChar w:fldCharType="separate"/>
      </w:r>
      <w:r>
        <w:t>48</w:t>
      </w:r>
      <w:r>
        <w:fldChar w:fldCharType="end"/>
      </w:r>
      <w:r>
        <w:rPr>
          <w:rFonts w:ascii="宋体" w:hAnsi="宋体" w:eastAsia="宋体" w:cs="仿宋"/>
          <w:szCs w:val="21"/>
        </w:rPr>
        <w:fldChar w:fldCharType="end"/>
      </w:r>
    </w:p>
    <w:p>
      <w:pPr>
        <w:adjustRightInd w:val="0"/>
        <w:snapToGrid w:val="0"/>
        <w:spacing w:before="0" w:line="560" w:lineRule="exact"/>
        <w:ind w:firstLine="33" w:firstLineChars="14"/>
        <w:jc w:val="left"/>
        <w:rPr>
          <w:rFonts w:hint="eastAsia" w:ascii="宋体" w:hAnsi="宋体" w:eastAsia="宋体" w:cs="仿宋"/>
          <w:szCs w:val="21"/>
        </w:rPr>
      </w:pPr>
      <w:r>
        <w:rPr>
          <w:rFonts w:ascii="宋体" w:hAnsi="宋体" w:eastAsia="宋体" w:cs="仿宋"/>
          <w:szCs w:val="21"/>
        </w:rPr>
        <w:fldChar w:fldCharType="end"/>
      </w:r>
    </w:p>
    <w:p>
      <w:pPr>
        <w:adjustRightInd w:val="0"/>
        <w:snapToGrid w:val="0"/>
        <w:spacing w:before="0" w:line="560" w:lineRule="exact"/>
        <w:ind w:firstLine="33" w:firstLineChars="14"/>
        <w:jc w:val="left"/>
        <w:rPr>
          <w:rFonts w:hint="eastAsia" w:ascii="宋体" w:hAnsi="宋体" w:eastAsia="宋体" w:cs="仿宋"/>
          <w:szCs w:val="21"/>
        </w:rPr>
      </w:pPr>
    </w:p>
    <w:p>
      <w:pPr>
        <w:adjustRightInd w:val="0"/>
        <w:snapToGrid w:val="0"/>
        <w:spacing w:before="0" w:line="560" w:lineRule="exact"/>
        <w:ind w:firstLine="33" w:firstLineChars="14"/>
        <w:jc w:val="left"/>
        <w:rPr>
          <w:rFonts w:hint="eastAsia" w:ascii="宋体" w:hAnsi="宋体" w:eastAsia="宋体" w:cs="仿宋"/>
          <w:szCs w:val="21"/>
        </w:rPr>
      </w:pPr>
    </w:p>
    <w:p>
      <w:pPr>
        <w:adjustRightInd w:val="0"/>
        <w:snapToGrid w:val="0"/>
        <w:spacing w:before="0" w:line="560" w:lineRule="exact"/>
        <w:sectPr>
          <w:footerReference r:id="rId8" w:type="default"/>
          <w:pgSz w:w="11906" w:h="16838"/>
          <w:pgMar w:top="1440" w:right="1800" w:bottom="1440" w:left="1800" w:header="851" w:footer="992" w:gutter="0"/>
          <w:pgNumType w:fmt="upperRoman" w:start="1"/>
          <w:cols w:space="425" w:num="1"/>
          <w:docGrid w:type="lines" w:linePitch="312" w:charSpace="0"/>
        </w:sectPr>
      </w:pPr>
    </w:p>
    <w:p>
      <w:pPr>
        <w:pStyle w:val="2"/>
        <w:numPr>
          <w:ilvl w:val="0"/>
          <w:numId w:val="1"/>
        </w:numPr>
        <w:adjustRightInd w:val="0"/>
        <w:snapToGrid w:val="0"/>
        <w:spacing w:before="0" w:beforeLines="0" w:line="560" w:lineRule="exact"/>
        <w:jc w:val="center"/>
        <w:rPr>
          <w:rFonts w:ascii="Times New Roman" w:hAnsi="Times New Roman" w:cs="Times New Roman"/>
        </w:rPr>
      </w:pPr>
      <w:r>
        <w:rPr>
          <w:rFonts w:hint="eastAsia" w:ascii="Times New Roman" w:hAnsi="Times New Roman" w:cs="Times New Roman"/>
        </w:rPr>
        <w:t xml:space="preserve"> </w:t>
      </w:r>
      <w:bookmarkStart w:id="0" w:name="_Toc700310519"/>
      <w:bookmarkStart w:id="1" w:name="_Toc21450"/>
      <w:r>
        <w:rPr>
          <w:rFonts w:hint="eastAsia" w:ascii="Times New Roman" w:hAnsi="Times New Roman" w:cs="Times New Roman"/>
          <w:lang w:eastAsia="zh"/>
        </w:rPr>
        <w:t>公开</w:t>
      </w:r>
      <w:r>
        <w:rPr>
          <w:rFonts w:hint="eastAsia" w:ascii="Times New Roman" w:hAnsi="Times New Roman" w:cs="Times New Roman"/>
        </w:rPr>
        <w:t>招标</w:t>
      </w:r>
      <w:r>
        <w:rPr>
          <w:rFonts w:hint="eastAsia" w:ascii="Times New Roman" w:hAnsi="Times New Roman" w:cs="Times New Roman"/>
          <w:lang w:eastAsia="zh"/>
        </w:rPr>
        <w:t>通知</w:t>
      </w:r>
      <w:r>
        <w:rPr>
          <w:rFonts w:hint="eastAsia" w:ascii="Times New Roman" w:hAnsi="Times New Roman" w:cs="Times New Roman"/>
        </w:rPr>
        <w:t>书</w:t>
      </w:r>
      <w:bookmarkEnd w:id="0"/>
      <w:bookmarkEnd w:id="1"/>
    </w:p>
    <w:p>
      <w:pPr>
        <w:adjustRightInd w:val="0"/>
        <w:snapToGrid w:val="0"/>
        <w:spacing w:before="0" w:line="560" w:lineRule="exact"/>
        <w:jc w:val="center"/>
        <w:rPr>
          <w:rFonts w:hint="eastAsia" w:ascii="仿宋" w:hAnsi="仿宋" w:cs="仿宋"/>
          <w:b/>
          <w:bCs/>
        </w:rPr>
      </w:pPr>
      <w:r>
        <w:rPr>
          <w:rFonts w:hint="eastAsia" w:ascii="仿宋" w:hAnsi="仿宋" w:cs="仿宋"/>
          <w:b/>
          <w:bCs/>
          <w:lang w:eastAsia="zh"/>
        </w:rPr>
        <w:t>中国机械总院“十五五”网络安全和信息化规划编制服务</w:t>
      </w:r>
      <w:r>
        <w:rPr>
          <w:rFonts w:hint="eastAsia" w:ascii="仿宋" w:hAnsi="仿宋" w:cs="仿宋"/>
          <w:b/>
          <w:bCs/>
        </w:rPr>
        <w:t>项目</w:t>
      </w:r>
      <w:r>
        <w:rPr>
          <w:rFonts w:hint="eastAsia" w:ascii="仿宋" w:hAnsi="仿宋" w:cs="仿宋"/>
          <w:b/>
          <w:bCs/>
          <w:lang w:eastAsia="zh"/>
        </w:rPr>
        <w:t>公开</w:t>
      </w:r>
      <w:r>
        <w:rPr>
          <w:rFonts w:hint="eastAsia" w:ascii="仿宋" w:hAnsi="仿宋" w:cs="仿宋"/>
          <w:b/>
          <w:bCs/>
        </w:rPr>
        <w:t>招标</w:t>
      </w:r>
      <w:r>
        <w:rPr>
          <w:rFonts w:hint="eastAsia" w:ascii="仿宋" w:hAnsi="仿宋" w:cs="仿宋"/>
          <w:b/>
          <w:bCs/>
          <w:lang w:eastAsia="zh"/>
        </w:rPr>
        <w:t>通知</w:t>
      </w:r>
      <w:r>
        <w:rPr>
          <w:rFonts w:hint="eastAsia" w:ascii="仿宋" w:hAnsi="仿宋" w:cs="仿宋"/>
          <w:b/>
          <w:bCs/>
        </w:rPr>
        <w:t>书</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招标项目所在地区：</w:t>
      </w:r>
      <w:r>
        <w:rPr>
          <w:rFonts w:hint="eastAsia" w:ascii="仿宋" w:hAnsi="仿宋" w:cs="仿宋"/>
          <w:u w:val="single"/>
        </w:rPr>
        <w:t>北京市海淀区</w:t>
      </w:r>
    </w:p>
    <w:p>
      <w:pPr>
        <w:numPr>
          <w:ilvl w:val="0"/>
          <w:numId w:val="2"/>
        </w:numPr>
        <w:adjustRightInd w:val="0"/>
        <w:snapToGrid w:val="0"/>
        <w:spacing w:before="0" w:line="560" w:lineRule="exact"/>
        <w:jc w:val="left"/>
        <w:rPr>
          <w:rFonts w:hint="eastAsia" w:ascii="仿宋" w:hAnsi="仿宋" w:cs="仿宋"/>
          <w:b/>
          <w:bCs/>
        </w:rPr>
      </w:pPr>
      <w:r>
        <w:rPr>
          <w:rFonts w:hint="eastAsia" w:ascii="仿宋" w:hAnsi="仿宋" w:cs="仿宋"/>
          <w:b/>
          <w:bCs/>
        </w:rPr>
        <w:t>招标条件</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招标人为中国机械科学研究总院集团有限公司。本项目已具备招标条件，根据《中国机械科学研究总院集团采购管理办法》，本项目采用</w:t>
      </w:r>
      <w:r>
        <w:rPr>
          <w:rFonts w:hint="eastAsia" w:ascii="仿宋" w:hAnsi="仿宋" w:cs="仿宋"/>
          <w:lang w:eastAsia="zh"/>
        </w:rPr>
        <w:t>公开</w:t>
      </w:r>
      <w:r>
        <w:rPr>
          <w:rFonts w:hint="eastAsia" w:ascii="仿宋" w:hAnsi="仿宋" w:cs="仿宋"/>
        </w:rPr>
        <w:t>招标方式采购。</w:t>
      </w:r>
    </w:p>
    <w:p>
      <w:pPr>
        <w:adjustRightInd w:val="0"/>
        <w:snapToGrid w:val="0"/>
        <w:spacing w:before="0" w:line="560" w:lineRule="exact"/>
        <w:jc w:val="left"/>
        <w:rPr>
          <w:rFonts w:hint="eastAsia" w:ascii="仿宋" w:hAnsi="仿宋" w:cs="仿宋"/>
          <w:b/>
          <w:bCs/>
        </w:rPr>
      </w:pPr>
      <w:r>
        <w:rPr>
          <w:rFonts w:hint="eastAsia" w:ascii="仿宋" w:hAnsi="仿宋" w:cs="仿宋"/>
          <w:b/>
          <w:bCs/>
        </w:rPr>
        <w:t>二、项目概况和招标范围</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color w:val="000000"/>
        </w:rPr>
        <w:t>招标范围：</w:t>
      </w:r>
      <w:r>
        <w:rPr>
          <w:rFonts w:ascii="仿宋" w:hAnsi="仿宋" w:cs="仿宋"/>
          <w:color w:val="000000"/>
        </w:rPr>
        <w:t>本次咨询服务</w:t>
      </w:r>
      <w:r>
        <w:rPr>
          <w:rFonts w:hint="eastAsia" w:ascii="仿宋" w:hAnsi="仿宋" w:cs="仿宋"/>
          <w:color w:val="000000"/>
          <w:lang w:eastAsia="zh"/>
        </w:rPr>
        <w:t>范围</w:t>
      </w:r>
      <w:r>
        <w:rPr>
          <w:rFonts w:ascii="仿宋" w:hAnsi="仿宋" w:cs="仿宋"/>
          <w:color w:val="000000"/>
        </w:rPr>
        <w:t>覆盖</w:t>
      </w:r>
      <w:r>
        <w:rPr>
          <w:rFonts w:hint="eastAsia" w:ascii="仿宋" w:hAnsi="仿宋" w:cs="仿宋"/>
          <w:color w:val="000000"/>
        </w:rPr>
        <w:t>中国机械总院</w:t>
      </w:r>
      <w:r>
        <w:rPr>
          <w:rFonts w:ascii="仿宋" w:hAnsi="仿宋" w:cs="仿宋"/>
          <w:color w:val="000000"/>
        </w:rPr>
        <w:t>“十五五”网络安全和信息化发展全领域，突出管理效率提升、</w:t>
      </w:r>
      <w:bookmarkStart w:id="2" w:name="OLE_LINK1"/>
      <w:r>
        <w:rPr>
          <w:rFonts w:hint="eastAsia" w:ascii="仿宋" w:hAnsi="仿宋" w:cs="仿宋"/>
          <w:color w:val="000000"/>
        </w:rPr>
        <w:t>财务数智化转型升级</w:t>
      </w:r>
      <w:bookmarkEnd w:id="2"/>
      <w:r>
        <w:rPr>
          <w:rFonts w:hint="eastAsia" w:ascii="仿宋" w:hAnsi="仿宋" w:cs="仿宋"/>
          <w:color w:val="000000"/>
        </w:rPr>
        <w:t>、</w:t>
      </w:r>
      <w:r>
        <w:rPr>
          <w:rFonts w:ascii="仿宋" w:hAnsi="仿宋" w:cs="仿宋"/>
          <w:color w:val="000000"/>
        </w:rPr>
        <w:t>智能化穿透式监管建设、AI+科研深度融合,包括但不限于基础设施升级、数据资源体系建设、业务应用系统迭代、数字产业培育、网络安全保障、数字人才培养等方面的战略规划、方案设计和实施指导。</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项目名称：中国机械总院“十五五”网络安全和信息化规划编制服务项目</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地点：北京市海淀区</w:t>
      </w:r>
    </w:p>
    <w:p>
      <w:pPr>
        <w:adjustRightInd w:val="0"/>
        <w:snapToGrid w:val="0"/>
        <w:spacing w:before="0" w:line="560" w:lineRule="exact"/>
        <w:jc w:val="left"/>
        <w:rPr>
          <w:rFonts w:hint="eastAsia" w:ascii="仿宋" w:hAnsi="仿宋" w:cs="仿宋"/>
          <w:b/>
          <w:bCs/>
        </w:rPr>
      </w:pPr>
      <w:r>
        <w:rPr>
          <w:rFonts w:hint="eastAsia" w:ascii="仿宋" w:hAnsi="仿宋" w:cs="仿宋"/>
          <w:b/>
          <w:bCs/>
        </w:rPr>
        <w:t>三、投标人资格要求</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（1）法人地位：投标人须是依照中华人民共和国有关法律设立，并在中华人民共和国正式注册的独立法人或其他组织；</w:t>
      </w:r>
    </w:p>
    <w:p>
      <w:pPr>
        <w:adjustRightInd w:val="0"/>
        <w:snapToGrid w:val="0"/>
        <w:spacing w:before="0" w:line="560" w:lineRule="exact"/>
        <w:ind w:firstLine="480" w:firstLineChars="200"/>
        <w:jc w:val="left"/>
        <w:rPr>
          <w:rFonts w:hint="default" w:ascii="仿宋" w:hAnsi="仿宋" w:eastAsia="仿宋" w:cs="仿宋"/>
          <w:lang w:val="en-US" w:eastAsia="zh-CN"/>
        </w:rPr>
      </w:pPr>
      <w:r>
        <w:rPr>
          <w:rFonts w:ascii="仿宋" w:hAnsi="仿宋" w:cs="仿宋"/>
        </w:rPr>
        <w:t>（2）</w:t>
      </w:r>
      <w:r>
        <w:rPr>
          <w:rFonts w:hint="eastAsia" w:ascii="仿宋" w:hAnsi="仿宋" w:cs="仿宋"/>
        </w:rPr>
        <w:t>商业信誉：投标人应具有良好的商业信誉。近三年（2023年1月1日</w:t>
      </w:r>
      <w:r>
        <w:rPr>
          <w:rFonts w:hint="eastAsia" w:ascii="仿宋" w:hAnsi="仿宋" w:cs="仿宋"/>
          <w:lang w:val="en-US" w:eastAsia="zh-CN"/>
        </w:rPr>
        <w:t>至</w:t>
      </w:r>
      <w:r>
        <w:rPr>
          <w:rFonts w:hint="eastAsia" w:ascii="仿宋" w:hAnsi="仿宋" w:cs="仿宋"/>
        </w:rPr>
        <w:t>投标截止之日）没有骗取中标、严重违约，所供应产品和服务未发生重大及以上责任事故。没有处于被责令停业，投标资格被取消的情况；未发生借取他人或向他人出借资质或业绩的情况；在“信用中国”网站（http://www.creditchina.gov.cn/）及有关网站中未被列入失信被执行人和重大税收违法失信主体名单；</w:t>
      </w:r>
      <w:r>
        <w:rPr>
          <w:rFonts w:ascii="仿宋" w:hAnsi="仿宋" w:cs="仿宋"/>
        </w:rPr>
        <w:t>营</w:t>
      </w:r>
      <w:r>
        <w:rPr>
          <w:rFonts w:hint="eastAsia" w:ascii="仿宋" w:hAnsi="仿宋" w:cs="仿宋"/>
        </w:rPr>
        <w:t>业执照在有效期内</w:t>
      </w:r>
      <w:r>
        <w:rPr>
          <w:rFonts w:hint="eastAsia" w:ascii="仿宋" w:hAnsi="仿宋" w:cs="仿宋"/>
          <w:lang w:eastAsia="zh"/>
        </w:rPr>
        <w:t>，有依法缴纳税收和社会保障资金的良好记录；</w:t>
      </w:r>
      <w:r>
        <w:rPr>
          <w:rFonts w:hint="eastAsia" w:ascii="仿宋" w:hAnsi="仿宋" w:cs="仿宋"/>
          <w:lang w:val="en-US" w:eastAsia="zh-CN"/>
        </w:rPr>
        <w:t>未被列入政府采购、军队采购等失信名单，未被列入军队采购暂停名单和预警名单；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（3）公司注册成立时间：投标人公司注册成立时间不少于</w:t>
      </w:r>
      <w:r>
        <w:rPr>
          <w:rFonts w:hint="eastAsia" w:ascii="仿宋" w:hAnsi="仿宋" w:cs="仿宋"/>
          <w:lang w:eastAsia="zh"/>
        </w:rPr>
        <w:t>3</w:t>
      </w:r>
      <w:r>
        <w:rPr>
          <w:rFonts w:hint="eastAsia" w:ascii="仿宋" w:hAnsi="仿宋" w:cs="仿宋"/>
        </w:rPr>
        <w:t>年；</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w:t>
      </w:r>
      <w:r>
        <w:rPr>
          <w:rFonts w:hint="eastAsia" w:ascii="仿宋" w:hAnsi="仿宋" w:cs="仿宋"/>
        </w:rPr>
        <w:t>4</w:t>
      </w:r>
      <w:r>
        <w:rPr>
          <w:rFonts w:ascii="仿宋" w:hAnsi="仿宋" w:cs="仿宋"/>
        </w:rPr>
        <w:t>）财务状况及资信：</w:t>
      </w:r>
      <w:r>
        <w:rPr>
          <w:rFonts w:hint="eastAsia" w:ascii="仿宋" w:hAnsi="仿宋" w:cs="仿宋"/>
        </w:rPr>
        <w:t>近三年（2023年1月1日至今）财务和资信状况良好。没有处于被责令停业，财产被接管、冻结，破产状态。</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w:t>
      </w:r>
      <w:r>
        <w:rPr>
          <w:rFonts w:hint="eastAsia" w:ascii="仿宋" w:hAnsi="仿宋" w:cs="仿宋"/>
        </w:rPr>
        <w:t>5</w:t>
      </w:r>
      <w:r>
        <w:rPr>
          <w:rFonts w:ascii="仿宋" w:hAnsi="仿宋" w:cs="仿宋"/>
        </w:rPr>
        <w:t>）相关资质及要求：</w:t>
      </w:r>
    </w:p>
    <w:p>
      <w:pPr>
        <w:adjustRightInd w:val="0"/>
        <w:snapToGrid w:val="0"/>
        <w:spacing w:before="0" w:line="560" w:lineRule="exact"/>
        <w:ind w:left="240" w:leftChars="100" w:firstLine="240" w:firstLineChars="100"/>
        <w:jc w:val="left"/>
        <w:rPr>
          <w:rFonts w:hint="eastAsia" w:ascii="仿宋" w:hAnsi="仿宋" w:cs="仿宋"/>
        </w:rPr>
      </w:pPr>
      <w:r>
        <w:rPr>
          <w:rFonts w:hint="eastAsia" w:ascii="仿宋" w:hAnsi="仿宋" w:cs="仿宋"/>
          <w:lang w:eastAsia="zh"/>
        </w:rPr>
        <w:t>· 具有丰富的政府部门或大型企事业单位信息化规划咨询经验，至少承担过5项央企二级子企业及以上信息化中长期规划类项目</w:t>
      </w:r>
      <w:r>
        <w:rPr>
          <w:rFonts w:hint="eastAsia" w:ascii="仿宋" w:hAnsi="仿宋" w:cs="仿宋"/>
        </w:rPr>
        <w:t>；</w:t>
      </w:r>
    </w:p>
    <w:p>
      <w:pPr>
        <w:adjustRightInd w:val="0"/>
        <w:snapToGrid w:val="0"/>
        <w:spacing w:before="0" w:line="560" w:lineRule="exact"/>
        <w:ind w:left="240" w:leftChars="100" w:firstLine="240" w:firstLineChars="100"/>
        <w:jc w:val="left"/>
        <w:rPr>
          <w:rFonts w:hint="eastAsia" w:ascii="仿宋" w:hAnsi="仿宋" w:cs="仿宋"/>
        </w:rPr>
      </w:pPr>
      <w:r>
        <w:rPr>
          <w:rFonts w:hint="eastAsia" w:ascii="仿宋" w:hAnsi="仿宋" w:cs="仿宋"/>
          <w:lang w:eastAsia="zh"/>
        </w:rPr>
        <w:t>· 具有国家认可的相关咨询资质</w:t>
      </w:r>
      <w:r>
        <w:rPr>
          <w:rFonts w:hint="eastAsia" w:ascii="仿宋" w:hAnsi="仿宋" w:cs="仿宋"/>
        </w:rPr>
        <w:t>：ISO9001质量管理体系认证、ISO</w:t>
      </w:r>
      <w:r>
        <w:rPr>
          <w:rFonts w:hint="eastAsia" w:ascii="仿宋" w:hAnsi="仿宋" w:cs="仿宋"/>
          <w:lang w:eastAsia="zh"/>
        </w:rPr>
        <w:t>27001</w:t>
      </w:r>
      <w:r>
        <w:rPr>
          <w:rFonts w:hint="eastAsia" w:ascii="仿宋" w:hAnsi="仿宋" w:cs="仿宋"/>
          <w:shd w:val="clear" w:color="auto" w:fill="FFFFFF"/>
          <w:lang w:bidi="ar"/>
        </w:rPr>
        <w:t>信息安全管理体系认证</w:t>
      </w:r>
      <w:r>
        <w:rPr>
          <w:rFonts w:hint="eastAsia" w:ascii="仿宋" w:hAnsi="仿宋" w:cs="仿宋"/>
          <w:lang w:eastAsia="zh"/>
        </w:rPr>
        <w:t>、</w:t>
      </w:r>
      <w:r>
        <w:rPr>
          <w:rFonts w:hint="eastAsia" w:ascii="仿宋" w:hAnsi="仿宋" w:cs="仿宋"/>
        </w:rPr>
        <w:t>ISO</w:t>
      </w:r>
      <w:r>
        <w:rPr>
          <w:rFonts w:hint="eastAsia" w:ascii="仿宋" w:hAnsi="仿宋" w:cs="仿宋"/>
          <w:lang w:eastAsia="zh"/>
        </w:rPr>
        <w:t>20000信息技术服务管理体系认证</w:t>
      </w:r>
      <w:r>
        <w:rPr>
          <w:rFonts w:hint="eastAsia" w:ascii="仿宋" w:hAnsi="仿宋" w:cs="仿宋"/>
        </w:rPr>
        <w:t>；</w:t>
      </w:r>
    </w:p>
    <w:p>
      <w:pPr>
        <w:adjustRightInd w:val="0"/>
        <w:snapToGrid w:val="0"/>
        <w:spacing w:before="0" w:line="560" w:lineRule="exact"/>
        <w:ind w:left="240" w:leftChars="100" w:firstLine="240" w:firstLineChars="100"/>
        <w:jc w:val="left"/>
        <w:rPr>
          <w:rFonts w:hint="eastAsia" w:ascii="仿宋" w:hAnsi="仿宋" w:cs="仿宋"/>
          <w:lang w:eastAsia="zh"/>
        </w:rPr>
      </w:pPr>
      <w:r>
        <w:rPr>
          <w:rFonts w:hint="eastAsia" w:ascii="仿宋" w:hAnsi="仿宋" w:cs="仿宋"/>
          <w:lang w:eastAsia="zh"/>
        </w:rPr>
        <w:t>· 具有良好的商业信誉和健全的财务会计制度，近三年无不良执业记录；</w:t>
      </w:r>
    </w:p>
    <w:p>
      <w:pPr>
        <w:adjustRightInd w:val="0"/>
        <w:snapToGrid w:val="0"/>
        <w:spacing w:before="0" w:line="560" w:lineRule="exact"/>
        <w:ind w:left="240" w:leftChars="100" w:firstLine="240" w:firstLineChars="100"/>
        <w:jc w:val="left"/>
        <w:rPr>
          <w:rFonts w:hint="eastAsia" w:ascii="仿宋" w:hAnsi="仿宋" w:cs="仿宋"/>
          <w:lang w:eastAsia="zh"/>
        </w:rPr>
      </w:pPr>
      <w:r>
        <w:rPr>
          <w:rFonts w:hint="eastAsia" w:ascii="仿宋" w:hAnsi="仿宋" w:cs="仿宋"/>
          <w:lang w:eastAsia="zh"/>
        </w:rPr>
        <w:t>· 具有履行合同所必需的专业技术能力和服务团队；</w:t>
      </w:r>
    </w:p>
    <w:p>
      <w:pPr>
        <w:numPr>
          <w:ilvl w:val="0"/>
          <w:numId w:val="3"/>
        </w:num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本项目未经允许不得</w:t>
      </w:r>
      <w:r>
        <w:rPr>
          <w:rFonts w:hint="eastAsia" w:ascii="仿宋" w:hAnsi="仿宋" w:cs="仿宋"/>
          <w:lang w:eastAsia="zh"/>
        </w:rPr>
        <w:t>转包或分包。</w:t>
      </w:r>
    </w:p>
    <w:p>
      <w:pPr>
        <w:adjustRightInd w:val="0"/>
        <w:snapToGrid w:val="0"/>
        <w:spacing w:before="0" w:line="560" w:lineRule="exact"/>
        <w:jc w:val="left"/>
        <w:rPr>
          <w:rFonts w:hint="eastAsia" w:ascii="仿宋" w:hAnsi="仿宋" w:cs="仿宋"/>
          <w:b/>
          <w:bCs/>
        </w:rPr>
      </w:pPr>
      <w:r>
        <w:rPr>
          <w:rFonts w:hint="eastAsia" w:ascii="仿宋" w:hAnsi="仿宋" w:cs="仿宋"/>
          <w:b/>
          <w:bCs/>
        </w:rPr>
        <w:t>四、招标文件的获取</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val="en-US" w:eastAsia="zh-CN"/>
        </w:rPr>
        <w:t>下载截</w:t>
      </w:r>
      <w:r>
        <w:rPr>
          <w:rFonts w:hint="eastAsia" w:ascii="仿宋" w:hAnsi="仿宋" w:cs="仿宋"/>
        </w:rPr>
        <w:t>止</w:t>
      </w:r>
      <w:r>
        <w:rPr>
          <w:rFonts w:hint="eastAsia" w:ascii="仿宋" w:hAnsi="仿宋" w:cs="仿宋"/>
          <w:lang w:val="en-US" w:eastAsia="zh-CN"/>
        </w:rPr>
        <w:t>时间：</w:t>
      </w:r>
      <w:r>
        <w:rPr>
          <w:rFonts w:hint="eastAsia" w:ascii="仿宋" w:hAnsi="仿宋" w:cs="仿宋"/>
          <w:lang w:eastAsia="zh"/>
        </w:rPr>
        <w:t>2026年</w:t>
      </w:r>
      <w:r>
        <w:rPr>
          <w:rFonts w:hint="eastAsia" w:ascii="仿宋" w:hAnsi="仿宋" w:cs="仿宋"/>
          <w:u w:val="single"/>
          <w:lang w:val="en-US" w:eastAsia="zh-CN"/>
        </w:rPr>
        <w:t>7</w:t>
      </w:r>
      <w:r>
        <w:rPr>
          <w:rFonts w:hint="eastAsia" w:ascii="仿宋" w:hAnsi="仿宋" w:cs="仿宋"/>
          <w:lang w:eastAsia="zh"/>
        </w:rPr>
        <w:t>月</w:t>
      </w:r>
      <w:r>
        <w:rPr>
          <w:rFonts w:hint="eastAsia" w:ascii="仿宋" w:hAnsi="仿宋" w:cs="仿宋"/>
          <w:u w:val="single"/>
          <w:lang w:val="en-US" w:eastAsia="zh-CN"/>
        </w:rPr>
        <w:t>16</w:t>
      </w:r>
      <w:r>
        <w:rPr>
          <w:rFonts w:hint="eastAsia" w:ascii="仿宋" w:hAnsi="仿宋" w:cs="仿宋"/>
          <w:lang w:eastAsia="zh"/>
        </w:rPr>
        <w:t>日上午9时（北京时间，节假日除外）</w:t>
      </w:r>
    </w:p>
    <w:p>
      <w:pPr>
        <w:adjustRightInd w:val="0"/>
        <w:snapToGrid w:val="0"/>
        <w:spacing w:before="0" w:line="560" w:lineRule="exact"/>
        <w:ind w:firstLine="480" w:firstLineChars="200"/>
        <w:rPr>
          <w:rFonts w:hint="eastAsia" w:ascii="仿宋" w:hAnsi="仿宋" w:eastAsia="仿宋" w:cs="仿宋"/>
          <w:lang w:val="en-US" w:eastAsia="zh-CN"/>
        </w:rPr>
      </w:pPr>
      <w:r>
        <w:rPr>
          <w:rFonts w:hint="eastAsia" w:ascii="仿宋" w:hAnsi="仿宋" w:cs="仿宋"/>
          <w:lang w:val="en-US" w:eastAsia="zh-CN"/>
        </w:rPr>
        <w:t>下载地址：中国机械科学研究总院集团有限公司官网-</w:t>
      </w:r>
      <w:r>
        <w:rPr>
          <w:rFonts w:hint="eastAsia" w:ascii="仿宋" w:hAnsi="仿宋" w:eastAsia="仿宋" w:cs="仿宋"/>
          <w:i w:val="0"/>
          <w:iCs w:val="0"/>
          <w:caps w:val="0"/>
          <w:spacing w:val="0"/>
          <w:sz w:val="24"/>
          <w:szCs w:val="24"/>
          <w:u w:val="none"/>
          <w:shd w:val="clear"/>
        </w:rPr>
        <w:fldChar w:fldCharType="begin"/>
      </w:r>
      <w:r>
        <w:rPr>
          <w:rFonts w:hint="eastAsia" w:ascii="仿宋" w:hAnsi="仿宋" w:eastAsia="仿宋" w:cs="仿宋"/>
          <w:i w:val="0"/>
          <w:iCs w:val="0"/>
          <w:caps w:val="0"/>
          <w:spacing w:val="0"/>
          <w:sz w:val="24"/>
          <w:szCs w:val="24"/>
          <w:u w:val="none"/>
          <w:shd w:val="clear"/>
        </w:rPr>
        <w:instrText xml:space="preserve"> HYPERLINK "https://www.cam.com.cn/channels/643.html" </w:instrText>
      </w:r>
      <w:r>
        <w:rPr>
          <w:rFonts w:hint="eastAsia" w:ascii="仿宋" w:hAnsi="仿宋" w:eastAsia="仿宋" w:cs="仿宋"/>
          <w:i w:val="0"/>
          <w:iCs w:val="0"/>
          <w:caps w:val="0"/>
          <w:spacing w:val="0"/>
          <w:sz w:val="24"/>
          <w:szCs w:val="24"/>
          <w:u w:val="none"/>
          <w:shd w:val="clear"/>
        </w:rPr>
        <w:fldChar w:fldCharType="separate"/>
      </w:r>
      <w:r>
        <w:rPr>
          <w:rFonts w:hint="eastAsia" w:ascii="仿宋" w:hAnsi="仿宋" w:eastAsia="仿宋" w:cs="仿宋"/>
          <w:i w:val="0"/>
          <w:iCs w:val="0"/>
          <w:caps w:val="0"/>
          <w:spacing w:val="0"/>
          <w:sz w:val="24"/>
          <w:szCs w:val="24"/>
          <w:u w:val="none"/>
          <w:shd w:val="clear"/>
        </w:rPr>
        <w:t>信息公开</w:t>
      </w:r>
      <w:r>
        <w:rPr>
          <w:rFonts w:hint="eastAsia" w:ascii="仿宋" w:hAnsi="仿宋" w:eastAsia="仿宋" w:cs="仿宋"/>
          <w:i w:val="0"/>
          <w:iCs w:val="0"/>
          <w:caps w:val="0"/>
          <w:spacing w:val="0"/>
          <w:sz w:val="24"/>
          <w:szCs w:val="24"/>
          <w:u w:val="none"/>
          <w:shd w:val="clear"/>
        </w:rPr>
        <w:fldChar w:fldCharType="end"/>
      </w:r>
      <w:r>
        <w:rPr>
          <w:rFonts w:hint="eastAsia" w:ascii="仿宋" w:hAnsi="仿宋" w:cs="仿宋"/>
          <w:i w:val="0"/>
          <w:iCs w:val="0"/>
          <w:caps w:val="0"/>
          <w:spacing w:val="0"/>
          <w:sz w:val="24"/>
          <w:szCs w:val="24"/>
          <w:u w:val="none"/>
          <w:shd w:val="clear"/>
          <w:lang w:val="en-US" w:eastAsia="zh-CN"/>
        </w:rPr>
        <w:t>-</w:t>
      </w:r>
      <w:r>
        <w:rPr>
          <w:rFonts w:hint="eastAsia" w:ascii="仿宋" w:hAnsi="仿宋" w:eastAsia="仿宋" w:cs="仿宋"/>
          <w:i w:val="0"/>
          <w:iCs w:val="0"/>
          <w:caps w:val="0"/>
          <w:spacing w:val="0"/>
          <w:sz w:val="24"/>
          <w:szCs w:val="24"/>
          <w:u w:val="none"/>
          <w:shd w:val="clear"/>
        </w:rPr>
        <w:fldChar w:fldCharType="begin"/>
      </w:r>
      <w:r>
        <w:rPr>
          <w:rFonts w:hint="eastAsia" w:ascii="仿宋" w:hAnsi="仿宋" w:eastAsia="仿宋" w:cs="仿宋"/>
          <w:i w:val="0"/>
          <w:iCs w:val="0"/>
          <w:caps w:val="0"/>
          <w:spacing w:val="0"/>
          <w:sz w:val="24"/>
          <w:szCs w:val="24"/>
          <w:u w:val="none"/>
          <w:shd w:val="clear"/>
        </w:rPr>
        <w:instrText xml:space="preserve"> HYPERLINK "https://www.cam.com.cn/channels/648.html" </w:instrText>
      </w:r>
      <w:r>
        <w:rPr>
          <w:rFonts w:hint="eastAsia" w:ascii="仿宋" w:hAnsi="仿宋" w:eastAsia="仿宋" w:cs="仿宋"/>
          <w:i w:val="0"/>
          <w:iCs w:val="0"/>
          <w:caps w:val="0"/>
          <w:spacing w:val="0"/>
          <w:sz w:val="24"/>
          <w:szCs w:val="24"/>
          <w:u w:val="none"/>
          <w:shd w:val="clear"/>
        </w:rPr>
        <w:fldChar w:fldCharType="separate"/>
      </w:r>
      <w:r>
        <w:rPr>
          <w:rFonts w:hint="eastAsia" w:ascii="仿宋" w:hAnsi="仿宋" w:eastAsia="仿宋" w:cs="仿宋"/>
          <w:i w:val="0"/>
          <w:iCs w:val="0"/>
          <w:caps w:val="0"/>
          <w:spacing w:val="0"/>
          <w:sz w:val="24"/>
          <w:szCs w:val="24"/>
          <w:u w:val="none"/>
          <w:shd w:val="clear"/>
        </w:rPr>
        <w:t>招标采购信息</w:t>
      </w:r>
      <w:r>
        <w:rPr>
          <w:rFonts w:hint="eastAsia" w:ascii="仿宋" w:hAnsi="仿宋" w:eastAsia="仿宋" w:cs="仿宋"/>
          <w:i w:val="0"/>
          <w:iCs w:val="0"/>
          <w:caps w:val="0"/>
          <w:spacing w:val="0"/>
          <w:sz w:val="24"/>
          <w:szCs w:val="24"/>
          <w:u w:val="none"/>
          <w:shd w:val="clear"/>
        </w:rPr>
        <w:fldChar w:fldCharType="end"/>
      </w:r>
      <w:r>
        <w:rPr>
          <w:rFonts w:hint="eastAsia" w:ascii="仿宋" w:hAnsi="仿宋" w:cs="仿宋"/>
          <w:i w:val="0"/>
          <w:iCs w:val="0"/>
          <w:caps w:val="0"/>
          <w:spacing w:val="0"/>
          <w:sz w:val="24"/>
          <w:szCs w:val="24"/>
          <w:u w:val="none"/>
          <w:shd w:val="clear"/>
          <w:lang w:val="en-US" w:eastAsia="zh-CN"/>
        </w:rPr>
        <w:t>模块</w:t>
      </w:r>
    </w:p>
    <w:p>
      <w:pPr>
        <w:adjustRightInd w:val="0"/>
        <w:snapToGrid w:val="0"/>
        <w:spacing w:before="0" w:line="560" w:lineRule="exact"/>
        <w:jc w:val="left"/>
        <w:rPr>
          <w:rFonts w:hint="eastAsia" w:ascii="仿宋" w:hAnsi="仿宋" w:cs="仿宋"/>
          <w:b/>
          <w:bCs/>
        </w:rPr>
      </w:pPr>
      <w:r>
        <w:rPr>
          <w:rFonts w:hint="eastAsia" w:ascii="仿宋" w:hAnsi="仿宋" w:cs="微软雅黑"/>
          <w:b/>
          <w:bCs/>
        </w:rPr>
        <w:t>五、</w:t>
      </w:r>
      <w:r>
        <w:rPr>
          <w:rFonts w:ascii="仿宋" w:hAnsi="仿宋" w:cs="仿宋"/>
          <w:b/>
          <w:bCs/>
        </w:rPr>
        <w:t>投标文件的递交</w:t>
      </w:r>
      <w:r>
        <w:rPr>
          <w:rFonts w:hint="eastAsia" w:ascii="仿宋" w:hAnsi="仿宋" w:cs="仿宋"/>
          <w:b/>
          <w:bCs/>
        </w:rPr>
        <w:t xml:space="preserve"> </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递交截止时间：</w:t>
      </w:r>
      <w:r>
        <w:rPr>
          <w:rFonts w:hint="eastAsia" w:ascii="仿宋" w:hAnsi="仿宋" w:cs="仿宋"/>
          <w:lang w:eastAsia="zh"/>
        </w:rPr>
        <w:t>2026年</w:t>
      </w:r>
      <w:r>
        <w:rPr>
          <w:rFonts w:hint="eastAsia" w:ascii="仿宋" w:hAnsi="仿宋" w:cs="仿宋"/>
          <w:u w:val="single"/>
          <w:lang w:val="en-US" w:eastAsia="zh-CN"/>
        </w:rPr>
        <w:t>7</w:t>
      </w:r>
      <w:r>
        <w:rPr>
          <w:rFonts w:hint="eastAsia" w:ascii="仿宋" w:hAnsi="仿宋" w:cs="仿宋"/>
          <w:lang w:eastAsia="zh"/>
        </w:rPr>
        <w:t>月</w:t>
      </w:r>
      <w:r>
        <w:rPr>
          <w:rFonts w:hint="eastAsia" w:ascii="仿宋" w:hAnsi="仿宋" w:cs="仿宋"/>
          <w:u w:val="single"/>
          <w:lang w:val="en-US" w:eastAsia="zh-CN"/>
        </w:rPr>
        <w:t>28</w:t>
      </w:r>
      <w:r>
        <w:rPr>
          <w:rFonts w:hint="eastAsia" w:ascii="仿宋" w:hAnsi="仿宋" w:cs="仿宋"/>
          <w:lang w:eastAsia="zh"/>
        </w:rPr>
        <w:t>日</w:t>
      </w:r>
      <w:r>
        <w:rPr>
          <w:rFonts w:hint="eastAsia" w:ascii="仿宋" w:hAnsi="仿宋" w:cs="仿宋"/>
        </w:rPr>
        <w:t>9</w:t>
      </w:r>
      <w:r>
        <w:rPr>
          <w:rFonts w:hint="eastAsia" w:ascii="仿宋" w:hAnsi="仿宋" w:cs="仿宋"/>
          <w:lang w:eastAsia="zh"/>
        </w:rPr>
        <w:t>:</w:t>
      </w:r>
      <w:r>
        <w:rPr>
          <w:rFonts w:hint="eastAsia" w:ascii="仿宋" w:hAnsi="仿宋" w:cs="仿宋"/>
        </w:rPr>
        <w:t>30</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递交方法：现场递交</w:t>
      </w:r>
      <w:r>
        <w:rPr>
          <w:rFonts w:hint="eastAsia" w:ascii="仿宋" w:hAnsi="仿宋" w:cs="仿宋"/>
          <w:kern w:val="2"/>
          <w:lang w:val="en-US" w:eastAsia="zh-CN" w:bidi="ar"/>
        </w:rPr>
        <w:t>或EMS邮寄投递</w:t>
      </w:r>
    </w:p>
    <w:p>
      <w:pPr>
        <w:adjustRightInd w:val="0"/>
        <w:snapToGrid w:val="0"/>
        <w:spacing w:before="0" w:line="560" w:lineRule="exact"/>
        <w:ind w:firstLine="480" w:firstLineChars="200"/>
        <w:jc w:val="left"/>
        <w:rPr>
          <w:rFonts w:hint="eastAsia" w:ascii="仿宋" w:hAnsi="仿宋" w:cs="仿宋"/>
          <w:u w:val="single"/>
        </w:rPr>
      </w:pPr>
      <w:r>
        <w:rPr>
          <w:rFonts w:hint="eastAsia" w:ascii="仿宋" w:hAnsi="仿宋" w:cs="仿宋"/>
        </w:rPr>
        <w:t>递交地点：</w:t>
      </w:r>
      <w:r>
        <w:rPr>
          <w:rFonts w:hint="eastAsia" w:ascii="仿宋" w:hAnsi="仿宋" w:eastAsia="仿宋" w:cs="仿宋"/>
          <w:i w:val="0"/>
          <w:iCs w:val="0"/>
          <w:caps w:val="0"/>
          <w:color w:val="auto"/>
          <w:spacing w:val="0"/>
          <w:sz w:val="24"/>
          <w:szCs w:val="24"/>
          <w:shd w:val="clear" w:fill="auto"/>
        </w:rPr>
        <w:t>北京市海淀区首体南路2号</w:t>
      </w:r>
      <w:r>
        <w:rPr>
          <w:rFonts w:hint="eastAsia" w:ascii="仿宋" w:hAnsi="仿宋" w:cs="仿宋"/>
          <w:lang w:val="en-US" w:eastAsia="zh-CN"/>
        </w:rPr>
        <w:t>中国机械科学研究总院集团有限公司</w:t>
      </w:r>
    </w:p>
    <w:p>
      <w:pPr>
        <w:adjustRightInd w:val="0"/>
        <w:snapToGrid w:val="0"/>
        <w:spacing w:before="0" w:line="560" w:lineRule="exact"/>
        <w:jc w:val="left"/>
        <w:rPr>
          <w:rFonts w:hint="eastAsia" w:ascii="仿宋" w:hAnsi="仿宋" w:cs="仿宋"/>
          <w:b/>
          <w:bCs/>
        </w:rPr>
      </w:pPr>
      <w:r>
        <w:rPr>
          <w:rFonts w:hint="eastAsia" w:ascii="仿宋" w:hAnsi="仿宋" w:cs="微软雅黑"/>
          <w:b/>
          <w:bCs/>
        </w:rPr>
        <w:t>六、</w:t>
      </w:r>
      <w:r>
        <w:rPr>
          <w:rFonts w:ascii="仿宋" w:hAnsi="仿宋" w:cs="仿宋"/>
          <w:b/>
          <w:bCs/>
        </w:rPr>
        <w:t>开标时间及地点</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开标时间：</w:t>
      </w:r>
      <w:r>
        <w:rPr>
          <w:rFonts w:hint="eastAsia" w:ascii="仿宋" w:hAnsi="仿宋" w:cs="仿宋"/>
          <w:lang w:eastAsia="zh"/>
        </w:rPr>
        <w:t>2026年</w:t>
      </w:r>
      <w:r>
        <w:rPr>
          <w:rFonts w:hint="eastAsia" w:ascii="仿宋" w:hAnsi="仿宋" w:cs="仿宋"/>
          <w:u w:val="single"/>
          <w:lang w:val="en-US" w:eastAsia="zh-CN"/>
        </w:rPr>
        <w:t>7</w:t>
      </w:r>
      <w:r>
        <w:rPr>
          <w:rFonts w:hint="eastAsia" w:ascii="仿宋" w:hAnsi="仿宋" w:cs="仿宋"/>
          <w:lang w:eastAsia="zh"/>
        </w:rPr>
        <w:t>月</w:t>
      </w:r>
      <w:r>
        <w:rPr>
          <w:rFonts w:hint="eastAsia" w:ascii="仿宋" w:hAnsi="仿宋" w:cs="仿宋"/>
          <w:u w:val="single"/>
          <w:lang w:val="en-US" w:eastAsia="zh-CN"/>
        </w:rPr>
        <w:t>31</w:t>
      </w:r>
      <w:r>
        <w:rPr>
          <w:rFonts w:hint="eastAsia" w:ascii="仿宋" w:hAnsi="仿宋" w:cs="仿宋"/>
          <w:lang w:eastAsia="zh"/>
        </w:rPr>
        <w:t>日9:</w:t>
      </w:r>
      <w:r>
        <w:rPr>
          <w:rFonts w:hint="eastAsia" w:ascii="仿宋" w:hAnsi="仿宋" w:cs="仿宋"/>
        </w:rPr>
        <w:t>30</w:t>
      </w:r>
    </w:p>
    <w:p>
      <w:pPr>
        <w:adjustRightInd w:val="0"/>
        <w:snapToGrid w:val="0"/>
        <w:spacing w:before="0" w:line="560" w:lineRule="exact"/>
        <w:ind w:firstLine="480" w:firstLineChars="200"/>
        <w:jc w:val="left"/>
        <w:rPr>
          <w:rFonts w:hint="eastAsia" w:ascii="仿宋" w:hAnsi="仿宋" w:cs="仿宋"/>
          <w:lang w:val="en-US" w:eastAsia="zh-CN"/>
        </w:rPr>
      </w:pPr>
      <w:r>
        <w:rPr>
          <w:rFonts w:hint="eastAsia" w:ascii="仿宋" w:hAnsi="仿宋" w:cs="仿宋"/>
        </w:rPr>
        <w:t>开标地点：</w:t>
      </w:r>
      <w:r>
        <w:rPr>
          <w:rFonts w:hint="eastAsia" w:ascii="仿宋" w:hAnsi="仿宋" w:eastAsia="仿宋" w:cs="仿宋"/>
          <w:i w:val="0"/>
          <w:iCs w:val="0"/>
          <w:caps w:val="0"/>
          <w:spacing w:val="0"/>
          <w:sz w:val="24"/>
          <w:szCs w:val="24"/>
          <w:shd w:val="clear"/>
        </w:rPr>
        <w:t>北京市海淀区首体南路2号</w:t>
      </w:r>
      <w:r>
        <w:rPr>
          <w:rFonts w:hint="eastAsia" w:ascii="仿宋" w:hAnsi="仿宋" w:cs="仿宋"/>
          <w:lang w:val="en-US" w:eastAsia="zh-CN"/>
        </w:rPr>
        <w:t>中国机械科学研究总院集团有限公司</w:t>
      </w:r>
    </w:p>
    <w:p>
      <w:pPr>
        <w:adjustRightInd w:val="0"/>
        <w:snapToGrid w:val="0"/>
        <w:spacing w:before="0" w:line="560" w:lineRule="exact"/>
        <w:ind w:firstLine="0" w:firstLineChars="0"/>
        <w:jc w:val="left"/>
        <w:rPr>
          <w:rFonts w:hint="eastAsia" w:ascii="仿宋" w:hAnsi="仿宋" w:cs="仿宋"/>
          <w:b/>
          <w:bCs/>
        </w:rPr>
      </w:pPr>
      <w:r>
        <w:rPr>
          <w:rFonts w:hint="eastAsia" w:ascii="仿宋" w:hAnsi="仿宋" w:cs="仿宋"/>
          <w:b/>
          <w:bCs/>
        </w:rPr>
        <w:t>七、监督部门</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本招标项目的监督部门为相关监督部门。</w:t>
      </w:r>
    </w:p>
    <w:p>
      <w:pPr>
        <w:adjustRightInd w:val="0"/>
        <w:snapToGrid w:val="0"/>
        <w:spacing w:before="0" w:line="560" w:lineRule="exact"/>
        <w:jc w:val="left"/>
        <w:rPr>
          <w:rFonts w:hint="eastAsia" w:ascii="仿宋" w:hAnsi="仿宋" w:cs="仿宋"/>
          <w:b/>
          <w:bCs/>
        </w:rPr>
      </w:pPr>
      <w:r>
        <w:rPr>
          <w:rFonts w:hint="eastAsia" w:ascii="仿宋" w:hAnsi="仿宋" w:cs="仿宋"/>
          <w:b/>
          <w:bCs/>
        </w:rPr>
        <w:t>八、联系方式</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招 标 人：</w:t>
      </w:r>
      <w:r>
        <w:rPr>
          <w:rFonts w:hint="eastAsia" w:ascii="仿宋" w:hAnsi="仿宋" w:cs="仿宋"/>
          <w:lang w:eastAsia="zh"/>
        </w:rPr>
        <w:t>中国机械科学研究总院集团有限公司</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地    址：</w:t>
      </w:r>
      <w:r>
        <w:rPr>
          <w:rFonts w:hint="eastAsia" w:ascii="仿宋" w:hAnsi="仿宋" w:cs="仿宋"/>
          <w:lang w:eastAsia="zh"/>
        </w:rPr>
        <w:t>北京市海淀区首体南路2号</w:t>
      </w:r>
    </w:p>
    <w:p>
      <w:pPr>
        <w:adjustRightInd w:val="0"/>
        <w:snapToGrid w:val="0"/>
        <w:spacing w:before="0" w:line="560" w:lineRule="exact"/>
        <w:ind w:firstLine="480" w:firstLineChars="200"/>
        <w:jc w:val="left"/>
        <w:rPr>
          <w:rFonts w:hint="default" w:ascii="仿宋" w:hAnsi="仿宋" w:eastAsia="仿宋" w:cs="仿宋"/>
          <w:lang w:val="en-US" w:eastAsia="zh-CN"/>
        </w:rPr>
      </w:pPr>
      <w:r>
        <w:rPr>
          <w:rFonts w:hint="eastAsia" w:ascii="仿宋" w:hAnsi="仿宋" w:cs="仿宋"/>
        </w:rPr>
        <w:t>联 系 人：</w:t>
      </w:r>
      <w:r>
        <w:rPr>
          <w:rFonts w:hint="eastAsia" w:ascii="仿宋" w:hAnsi="仿宋" w:cs="仿宋"/>
          <w:lang w:val="en-US" w:eastAsia="zh-CN"/>
        </w:rPr>
        <w:t>张老师</w:t>
      </w:r>
    </w:p>
    <w:p>
      <w:pPr>
        <w:adjustRightInd w:val="0"/>
        <w:snapToGrid w:val="0"/>
        <w:spacing w:before="0" w:line="560" w:lineRule="exact"/>
        <w:ind w:firstLine="480" w:firstLineChars="200"/>
        <w:jc w:val="left"/>
        <w:rPr>
          <w:rFonts w:hint="default" w:ascii="仿宋" w:hAnsi="仿宋" w:eastAsia="仿宋" w:cs="仿宋"/>
          <w:lang w:val="en-US" w:eastAsia="zh-CN"/>
        </w:rPr>
      </w:pPr>
      <w:r>
        <w:rPr>
          <w:rFonts w:hint="eastAsia" w:ascii="仿宋" w:hAnsi="仿宋" w:cs="仿宋"/>
        </w:rPr>
        <w:t>电    话：15501282368</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电子邮箱：zhangpf</w:t>
      </w:r>
      <w:r>
        <w:rPr>
          <w:rFonts w:hint="eastAsia" w:ascii="仿宋" w:hAnsi="仿宋" w:cs="仿宋"/>
          <w:lang w:eastAsia="zh"/>
        </w:rPr>
        <w:t>@cam.com.cn</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 xml:space="preserve">    </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33" w:firstLineChars="14"/>
        <w:jc w:val="left"/>
        <w:rPr>
          <w:rFonts w:hint="eastAsia" w:ascii="宋体" w:hAnsi="宋体" w:eastAsia="宋体" w:cs="仿宋"/>
          <w:szCs w:val="21"/>
        </w:rPr>
      </w:pPr>
    </w:p>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br w:type="page"/>
      </w:r>
    </w:p>
    <w:p>
      <w:pPr>
        <w:pStyle w:val="2"/>
        <w:numPr>
          <w:ilvl w:val="0"/>
          <w:numId w:val="1"/>
        </w:numPr>
        <w:adjustRightInd w:val="0"/>
        <w:snapToGrid w:val="0"/>
        <w:spacing w:before="0" w:beforeLines="0" w:line="560" w:lineRule="exact"/>
        <w:jc w:val="center"/>
        <w:rPr>
          <w:rFonts w:hint="eastAsia" w:ascii="等线" w:hAnsi="等线" w:cs="Times New Roman"/>
        </w:rPr>
      </w:pPr>
      <w:r>
        <w:rPr>
          <w:rFonts w:hint="eastAsia" w:ascii="等线" w:hAnsi="等线" w:cs="Times New Roman"/>
        </w:rPr>
        <w:t xml:space="preserve"> </w:t>
      </w:r>
      <w:bookmarkStart w:id="3" w:name="_Toc5953"/>
      <w:bookmarkStart w:id="4" w:name="_Toc21296"/>
      <w:bookmarkStart w:id="5" w:name="_Toc1912980150"/>
      <w:bookmarkStart w:id="6" w:name="_Toc172229480"/>
      <w:bookmarkStart w:id="7" w:name="_Toc19226"/>
      <w:bookmarkStart w:id="8" w:name="_Toc30868"/>
      <w:r>
        <w:rPr>
          <w:rFonts w:hint="eastAsia" w:ascii="等线" w:hAnsi="等线" w:cs="Times New Roman"/>
        </w:rPr>
        <w:t>投标人须知</w:t>
      </w:r>
      <w:bookmarkEnd w:id="3"/>
      <w:bookmarkEnd w:id="4"/>
      <w:bookmarkEnd w:id="5"/>
      <w:bookmarkEnd w:id="6"/>
      <w:bookmarkEnd w:id="7"/>
      <w:bookmarkEnd w:id="8"/>
    </w:p>
    <w:p>
      <w:pPr>
        <w:keepNext/>
        <w:keepLines/>
        <w:numPr>
          <w:ilvl w:val="1"/>
          <w:numId w:val="1"/>
        </w:numPr>
        <w:adjustRightInd w:val="0"/>
        <w:snapToGrid w:val="0"/>
        <w:spacing w:before="0" w:line="560" w:lineRule="exact"/>
        <w:jc w:val="center"/>
        <w:outlineLvl w:val="3"/>
        <w:rPr>
          <w:rFonts w:hint="eastAsia" w:ascii="等线 Light" w:hAnsi="等线 Light" w:eastAsia="黑体" w:cs="Times New Roman"/>
          <w:b/>
          <w:bCs/>
          <w:sz w:val="28"/>
          <w:szCs w:val="32"/>
        </w:rPr>
      </w:pPr>
      <w:r>
        <w:rPr>
          <w:rFonts w:hint="eastAsia" w:ascii="等线 Light" w:hAnsi="等线 Light" w:eastAsia="黑体" w:cs="Times New Roman"/>
          <w:b/>
          <w:bCs/>
          <w:sz w:val="28"/>
          <w:szCs w:val="32"/>
        </w:rPr>
        <w:t>投标人须知前附表</w:t>
      </w:r>
    </w:p>
    <w:tbl>
      <w:tblPr>
        <w:tblStyle w:val="9"/>
        <w:tblW w:w="8323" w:type="dxa"/>
        <w:tblInd w:w="98" w:type="dxa"/>
        <w:tblLayout w:type="autofit"/>
        <w:tblCellMar>
          <w:top w:w="0" w:type="dxa"/>
          <w:left w:w="108" w:type="dxa"/>
          <w:bottom w:w="0" w:type="dxa"/>
          <w:right w:w="108" w:type="dxa"/>
        </w:tblCellMar>
      </w:tblPr>
      <w:tblGrid>
        <w:gridCol w:w="748"/>
        <w:gridCol w:w="2268"/>
        <w:gridCol w:w="5307"/>
      </w:tblGrid>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条款名称</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编列内容</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招标人</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中国机械科学研究总院集团有限公司</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招标方式</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公开招标</w:t>
            </w:r>
          </w:p>
        </w:tc>
      </w:tr>
      <w:tr>
        <w:tblPrEx>
          <w:tblCellMar>
            <w:top w:w="0" w:type="dxa"/>
            <w:left w:w="108" w:type="dxa"/>
            <w:bottom w:w="0" w:type="dxa"/>
            <w:right w:w="108" w:type="dxa"/>
          </w:tblCellMar>
        </w:tblPrEx>
        <w:trPr>
          <w:trHeight w:val="87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项目名称</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中国机械总院“十五五”网络安全和信息化规划编制服务项目</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实施地点</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北京</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资金来源</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自筹</w:t>
            </w:r>
          </w:p>
        </w:tc>
      </w:tr>
      <w:tr>
        <w:tblPrEx>
          <w:tblCellMar>
            <w:top w:w="0" w:type="dxa"/>
            <w:left w:w="108" w:type="dxa"/>
            <w:bottom w:w="0" w:type="dxa"/>
            <w:right w:w="108" w:type="dxa"/>
          </w:tblCellMar>
        </w:tblPrEx>
        <w:trPr>
          <w:trHeight w:val="34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招标范围</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本次咨询服务范围覆盖中国机械总院“十五五”网络安全和信息化发展全领域，突出管理效率提升、财务数智化转型升级、智能化穿透式监管建设、AI+科研深度融合,包括但不限于基础设施升级、数据资源体系建设、业务应用系统迭代、数字产业培育、网络安全保障、数字人才培养等方面的战略规划、方案设计和实施指导。</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技术要求</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见项目需求书具体内容及要求</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投标人资质和资格条件</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见招标公告投标人资格要求部分</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踏勘现场</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不组织</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投标预备会</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不召开</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分包</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未经书面允许不得转包或分包</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构成投标文件的其他材料</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见投标人须知</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投标有效期</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90天</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是否允许递交备选投标方案</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不允许</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投标文件份数</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正本1份，副本2份，电子文件1份（U盘）。</w:t>
            </w:r>
          </w:p>
        </w:tc>
      </w:tr>
      <w:tr>
        <w:tblPrEx>
          <w:tblCellMar>
            <w:top w:w="0" w:type="dxa"/>
            <w:left w:w="108" w:type="dxa"/>
            <w:bottom w:w="0" w:type="dxa"/>
            <w:right w:w="108" w:type="dxa"/>
          </w:tblCellMar>
        </w:tblPrEx>
        <w:trPr>
          <w:trHeight w:val="11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签字要求</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投标文件正本中要求法定代表人或其授权代表签字的内容由本人签字。副本可以采用正本复印件。</w:t>
            </w:r>
          </w:p>
        </w:tc>
      </w:tr>
      <w:tr>
        <w:tblPrEx>
          <w:tblCellMar>
            <w:top w:w="0" w:type="dxa"/>
            <w:left w:w="108" w:type="dxa"/>
            <w:bottom w:w="0" w:type="dxa"/>
            <w:right w:w="108" w:type="dxa"/>
          </w:tblCellMar>
        </w:tblPrEx>
        <w:trPr>
          <w:trHeight w:val="297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装订要求</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投标文件应按以下要求装订：</w:t>
            </w:r>
            <w:r>
              <w:rPr>
                <w:rFonts w:hint="eastAsia" w:ascii="仿宋" w:hAnsi="仿宋" w:cs="仿宋"/>
                <w:color w:val="000000"/>
                <w:kern w:val="0"/>
                <w:lang w:bidi="ar"/>
              </w:rPr>
              <w:br w:type="textWrapping"/>
            </w:r>
            <w:r>
              <w:rPr>
                <w:rFonts w:hint="eastAsia" w:ascii="仿宋" w:hAnsi="仿宋" w:cs="仿宋"/>
                <w:color w:val="000000"/>
                <w:kern w:val="0"/>
                <w:lang w:bidi="ar"/>
              </w:rPr>
              <w:t>分册装订：正本与副本分别装订。</w:t>
            </w:r>
            <w:r>
              <w:rPr>
                <w:rFonts w:hint="eastAsia" w:ascii="仿宋" w:hAnsi="仿宋" w:cs="仿宋"/>
                <w:color w:val="000000"/>
                <w:kern w:val="0"/>
                <w:lang w:bidi="ar"/>
              </w:rPr>
              <w:br w:type="textWrapping"/>
            </w:r>
            <w:r>
              <w:rPr>
                <w:rFonts w:hint="eastAsia" w:ascii="仿宋" w:hAnsi="仿宋" w:cs="仿宋"/>
                <w:color w:val="000000"/>
                <w:kern w:val="0"/>
                <w:lang w:bidi="ar"/>
              </w:rPr>
              <w:t>投标文件胶装成册或其他装订方式，装订应牢固、不易拆散和换页，不得采用活页装订。否则，招标人对由于投标文件装订松散而造成的丢失或其他后果不承担任何责任。</w:t>
            </w:r>
          </w:p>
        </w:tc>
      </w:tr>
      <w:tr>
        <w:tblPrEx>
          <w:tblCellMar>
            <w:top w:w="0" w:type="dxa"/>
            <w:left w:w="108" w:type="dxa"/>
            <w:bottom w:w="0" w:type="dxa"/>
            <w:right w:w="108" w:type="dxa"/>
          </w:tblCellMar>
        </w:tblPrEx>
        <w:trPr>
          <w:trHeight w:val="18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封套上写明</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招标人名称：中国机械科学研究总院集团有限公司</w:t>
            </w:r>
            <w:r>
              <w:rPr>
                <w:rFonts w:hint="eastAsia" w:ascii="仿宋" w:hAnsi="仿宋" w:cs="仿宋"/>
                <w:color w:val="000000"/>
                <w:kern w:val="0"/>
                <w:lang w:bidi="ar"/>
              </w:rPr>
              <w:br w:type="textWrapping"/>
            </w:r>
            <w:r>
              <w:rPr>
                <w:rFonts w:hint="eastAsia" w:ascii="仿宋" w:hAnsi="仿宋" w:cs="仿宋"/>
                <w:color w:val="000000"/>
                <w:kern w:val="0"/>
                <w:lang w:bidi="ar"/>
              </w:rPr>
              <w:t>投标项目名称：中国机械总院“十五五”网络安全和信息化规划编制服务项目</w:t>
            </w:r>
            <w:r>
              <w:rPr>
                <w:rFonts w:hint="eastAsia" w:ascii="仿宋" w:hAnsi="仿宋" w:cs="仿宋"/>
                <w:color w:val="000000"/>
                <w:kern w:val="0"/>
                <w:lang w:bidi="ar"/>
              </w:rPr>
              <w:br w:type="textWrapping"/>
            </w:r>
            <w:r>
              <w:rPr>
                <w:rFonts w:hint="eastAsia" w:ascii="仿宋" w:hAnsi="仿宋" w:cs="仿宋"/>
                <w:color w:val="000000"/>
                <w:kern w:val="0"/>
                <w:lang w:bidi="ar"/>
              </w:rPr>
              <w:t>投标文件/报价文件在 2026 年</w:t>
            </w:r>
            <w:r>
              <w:rPr>
                <w:rFonts w:hint="eastAsia" w:ascii="仿宋" w:hAnsi="仿宋" w:cs="仿宋"/>
                <w:color w:val="000000"/>
                <w:kern w:val="0"/>
                <w:lang w:val="en-US" w:eastAsia="zh-CN" w:bidi="ar"/>
              </w:rPr>
              <w:t>7</w:t>
            </w:r>
            <w:r>
              <w:rPr>
                <w:rFonts w:hint="eastAsia" w:ascii="仿宋" w:hAnsi="仿宋" w:cs="仿宋"/>
                <w:color w:val="000000"/>
                <w:kern w:val="0"/>
                <w:lang w:bidi="ar"/>
              </w:rPr>
              <w:t>月</w:t>
            </w:r>
            <w:r>
              <w:rPr>
                <w:rFonts w:hint="eastAsia" w:ascii="仿宋" w:hAnsi="仿宋" w:cs="仿宋"/>
                <w:color w:val="000000"/>
                <w:kern w:val="0"/>
                <w:lang w:val="en-US" w:eastAsia="zh-CN" w:bidi="ar"/>
              </w:rPr>
              <w:t>31</w:t>
            </w:r>
            <w:r>
              <w:rPr>
                <w:rFonts w:hint="eastAsia" w:ascii="仿宋" w:hAnsi="仿宋" w:cs="仿宋"/>
                <w:color w:val="000000"/>
                <w:kern w:val="0"/>
                <w:lang w:bidi="ar"/>
              </w:rPr>
              <w:t>日9时30分前不得开启</w:t>
            </w:r>
          </w:p>
        </w:tc>
      </w:tr>
      <w:tr>
        <w:tblPrEx>
          <w:tblCellMar>
            <w:top w:w="0" w:type="dxa"/>
            <w:left w:w="108" w:type="dxa"/>
            <w:bottom w:w="0" w:type="dxa"/>
            <w:right w:w="108" w:type="dxa"/>
          </w:tblCellMar>
        </w:tblPrEx>
        <w:trPr>
          <w:trHeight w:val="87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投标人要求澄清招标文件的截止时间</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kern w:val="0"/>
                <w:lang w:bidi="ar"/>
              </w:rPr>
            </w:pPr>
            <w:r>
              <w:rPr>
                <w:rFonts w:hint="eastAsia" w:ascii="仿宋" w:hAnsi="仿宋" w:cs="仿宋"/>
                <w:color w:val="000000"/>
                <w:kern w:val="0"/>
                <w:lang w:bidi="ar"/>
              </w:rPr>
              <w:t>2026年</w:t>
            </w:r>
            <w:r>
              <w:rPr>
                <w:rFonts w:hint="eastAsia" w:ascii="仿宋" w:hAnsi="仿宋" w:cs="仿宋"/>
                <w:color w:val="000000"/>
                <w:kern w:val="0"/>
                <w:u w:val="single"/>
                <w:lang w:val="en-US" w:eastAsia="zh-CN" w:bidi="ar"/>
              </w:rPr>
              <w:t>7</w:t>
            </w:r>
            <w:r>
              <w:rPr>
                <w:rFonts w:hint="eastAsia" w:ascii="仿宋" w:hAnsi="仿宋" w:cs="仿宋"/>
                <w:color w:val="000000"/>
                <w:kern w:val="0"/>
                <w:lang w:bidi="ar"/>
              </w:rPr>
              <w:t>月</w:t>
            </w:r>
            <w:r>
              <w:rPr>
                <w:rFonts w:hint="eastAsia" w:ascii="仿宋" w:hAnsi="仿宋" w:cs="仿宋"/>
                <w:color w:val="000000"/>
                <w:kern w:val="0"/>
                <w:u w:val="single"/>
                <w:lang w:val="en-US" w:eastAsia="zh-CN" w:bidi="ar"/>
              </w:rPr>
              <w:t>16</w:t>
            </w:r>
            <w:r>
              <w:rPr>
                <w:rFonts w:hint="eastAsia" w:ascii="仿宋" w:hAnsi="仿宋" w:cs="仿宋"/>
                <w:color w:val="000000"/>
                <w:kern w:val="0"/>
                <w:lang w:bidi="ar"/>
              </w:rPr>
              <w:t>日1</w:t>
            </w:r>
            <w:r>
              <w:rPr>
                <w:rFonts w:hint="eastAsia" w:ascii="仿宋" w:hAnsi="仿宋" w:cs="仿宋"/>
                <w:color w:val="000000"/>
                <w:kern w:val="0"/>
                <w:lang w:val="en-US" w:eastAsia="zh-CN" w:bidi="ar"/>
              </w:rPr>
              <w:t>2</w:t>
            </w:r>
            <w:r>
              <w:rPr>
                <w:rFonts w:hint="eastAsia" w:ascii="仿宋" w:hAnsi="仿宋" w:cs="仿宋"/>
                <w:color w:val="000000"/>
                <w:kern w:val="0"/>
                <w:lang w:bidi="ar"/>
              </w:rPr>
              <w:t>时00分</w:t>
            </w:r>
          </w:p>
          <w:p>
            <w:pPr>
              <w:widowControl/>
              <w:jc w:val="left"/>
              <w:textAlignment w:val="center"/>
              <w:rPr>
                <w:rFonts w:hint="eastAsia" w:ascii="仿宋" w:hAnsi="仿宋" w:eastAsia="仿宋" w:cs="仿宋"/>
                <w:color w:val="000000"/>
                <w:kern w:val="0"/>
                <w:lang w:eastAsia="zh-CN" w:bidi="ar"/>
              </w:rPr>
            </w:pPr>
            <w:r>
              <w:rPr>
                <w:rFonts w:hint="eastAsia" w:ascii="宋体" w:hAnsi="宋体"/>
                <w:szCs w:val="21"/>
                <w:highlight w:val="none"/>
              </w:rPr>
              <w:t>电话咨询不作为</w:t>
            </w:r>
            <w:r>
              <w:rPr>
                <w:rFonts w:hint="eastAsia" w:ascii="宋体" w:hAnsi="宋体"/>
                <w:szCs w:val="21"/>
                <w:highlight w:val="none"/>
                <w:lang w:val="en-US" w:eastAsia="zh-CN"/>
              </w:rPr>
              <w:t>澄清回复</w:t>
            </w:r>
            <w:r>
              <w:rPr>
                <w:rFonts w:hint="eastAsia" w:ascii="宋体" w:hAnsi="宋体"/>
                <w:szCs w:val="21"/>
                <w:highlight w:val="none"/>
              </w:rPr>
              <w:t>依据</w:t>
            </w:r>
            <w:r>
              <w:rPr>
                <w:rFonts w:hint="eastAsia" w:ascii="宋体" w:hAnsi="宋体"/>
                <w:szCs w:val="21"/>
                <w:highlight w:val="none"/>
                <w:lang w:eastAsia="zh-CN"/>
              </w:rPr>
              <w:t>。</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投标截止时间</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color w:val="000000"/>
                <w:u w:val="single"/>
                <w:lang w:val="en-US" w:eastAsia="zh-CN"/>
              </w:rPr>
            </w:pPr>
            <w:r>
              <w:rPr>
                <w:rFonts w:hint="eastAsia" w:ascii="仿宋" w:hAnsi="仿宋" w:cs="仿宋"/>
                <w:color w:val="000000"/>
                <w:kern w:val="0"/>
                <w:u w:val="single"/>
                <w:lang w:bidi="ar"/>
              </w:rPr>
              <w:t xml:space="preserve"> 2026年</w:t>
            </w:r>
            <w:r>
              <w:rPr>
                <w:rFonts w:hint="eastAsia" w:ascii="仿宋" w:hAnsi="仿宋" w:cs="仿宋"/>
                <w:color w:val="000000"/>
                <w:kern w:val="0"/>
                <w:u w:val="single"/>
                <w:lang w:val="en-US" w:eastAsia="zh-CN" w:bidi="ar"/>
              </w:rPr>
              <w:t>7</w:t>
            </w:r>
            <w:r>
              <w:rPr>
                <w:rFonts w:hint="eastAsia" w:ascii="仿宋" w:hAnsi="仿宋" w:cs="仿宋"/>
                <w:color w:val="000000"/>
                <w:kern w:val="0"/>
                <w:u w:val="single"/>
                <w:lang w:bidi="ar"/>
              </w:rPr>
              <w:t>月</w:t>
            </w:r>
            <w:r>
              <w:rPr>
                <w:rFonts w:hint="eastAsia" w:ascii="仿宋" w:hAnsi="仿宋" w:cs="仿宋"/>
                <w:color w:val="000000"/>
                <w:kern w:val="0"/>
                <w:u w:val="single"/>
                <w:lang w:val="en-US" w:eastAsia="zh-CN" w:bidi="ar"/>
              </w:rPr>
              <w:t>28</w:t>
            </w:r>
            <w:r>
              <w:rPr>
                <w:rFonts w:hint="eastAsia" w:ascii="仿宋" w:hAnsi="仿宋" w:cs="仿宋"/>
                <w:color w:val="000000"/>
                <w:kern w:val="0"/>
                <w:u w:val="single"/>
                <w:lang w:bidi="ar"/>
              </w:rPr>
              <w:t>日9时30分</w:t>
            </w:r>
            <w:r>
              <w:rPr>
                <w:rFonts w:hint="eastAsia" w:ascii="仿宋" w:hAnsi="仿宋" w:cs="仿宋"/>
                <w:color w:val="000000"/>
                <w:kern w:val="0"/>
                <w:u w:val="single"/>
                <w:lang w:eastAsia="zh-CN" w:bidi="ar"/>
              </w:rPr>
              <w:t>，</w:t>
            </w:r>
            <w:r>
              <w:rPr>
                <w:rFonts w:hint="eastAsia" w:ascii="仿宋" w:hAnsi="仿宋" w:cs="仿宋"/>
                <w:color w:val="000000"/>
                <w:kern w:val="0"/>
                <w:u w:val="single"/>
                <w:lang w:val="en-US" w:eastAsia="zh-CN" w:bidi="ar"/>
              </w:rPr>
              <w:t>以收到投标文件时间为准。</w:t>
            </w:r>
          </w:p>
        </w:tc>
      </w:tr>
      <w:tr>
        <w:tblPrEx>
          <w:tblCellMar>
            <w:top w:w="0" w:type="dxa"/>
            <w:left w:w="108" w:type="dxa"/>
            <w:bottom w:w="0" w:type="dxa"/>
            <w:right w:w="108" w:type="dxa"/>
          </w:tblCellMar>
        </w:tblPrEx>
        <w:trPr>
          <w:trHeight w:val="10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递交投标文件地点</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kern w:val="0"/>
                <w:lang w:bidi="ar"/>
              </w:rPr>
            </w:pPr>
            <w:r>
              <w:rPr>
                <w:rFonts w:hint="eastAsia" w:ascii="仿宋" w:hAnsi="仿宋" w:cs="仿宋"/>
                <w:color w:val="000000"/>
                <w:kern w:val="0"/>
                <w:lang w:bidi="ar"/>
              </w:rPr>
              <w:t>地址：</w:t>
            </w:r>
            <w:r>
              <w:rPr>
                <w:rFonts w:hint="eastAsia" w:ascii="仿宋" w:hAnsi="仿宋" w:eastAsia="仿宋" w:cs="仿宋"/>
                <w:i w:val="0"/>
                <w:iCs w:val="0"/>
                <w:caps w:val="0"/>
                <w:spacing w:val="0"/>
                <w:sz w:val="24"/>
                <w:szCs w:val="24"/>
                <w:shd w:val="clear"/>
              </w:rPr>
              <w:t>北京市海淀区首体南路2号</w:t>
            </w:r>
            <w:r>
              <w:rPr>
                <w:rFonts w:hint="eastAsia" w:ascii="仿宋" w:hAnsi="仿宋" w:cs="仿宋"/>
                <w:lang w:val="en-US" w:eastAsia="zh-CN"/>
              </w:rPr>
              <w:t>中国机械科学研究总院集团有限公司。</w:t>
            </w:r>
          </w:p>
          <w:p>
            <w:pPr>
              <w:widowControl/>
              <w:adjustRightInd w:val="0"/>
              <w:snapToGrid w:val="0"/>
              <w:spacing w:before="0" w:line="560" w:lineRule="exact"/>
              <w:ind w:firstLine="0" w:firstLineChars="0"/>
              <w:jc w:val="left"/>
              <w:textAlignment w:val="auto"/>
              <w:rPr>
                <w:rFonts w:hint="eastAsia" w:ascii="仿宋" w:hAnsi="仿宋" w:cs="仿宋"/>
                <w:color w:val="000000"/>
                <w:kern w:val="0"/>
                <w:lang w:bidi="ar"/>
              </w:rPr>
            </w:pPr>
            <w:r>
              <w:rPr>
                <w:rFonts w:hint="eastAsia" w:ascii="仿宋" w:hAnsi="仿宋" w:cs="仿宋"/>
                <w:kern w:val="2"/>
                <w:lang w:bidi="ar"/>
              </w:rPr>
              <w:t>递交方式：现场投递</w:t>
            </w:r>
            <w:r>
              <w:rPr>
                <w:rFonts w:hint="eastAsia" w:ascii="仿宋" w:hAnsi="仿宋" w:cs="仿宋"/>
                <w:kern w:val="2"/>
                <w:lang w:val="en-US" w:eastAsia="zh-CN" w:bidi="ar"/>
              </w:rPr>
              <w:t>或EMS邮寄投递，邮件投递应明确标注投标联系人、联系电话、联系邮箱。</w:t>
            </w:r>
            <w:r>
              <w:rPr>
                <w:rFonts w:hint="eastAsia" w:ascii="仿宋" w:hAnsi="仿宋" w:cs="仿宋"/>
                <w:color w:val="000000"/>
                <w:kern w:val="0"/>
                <w:highlight w:val="yellow"/>
                <w:lang w:bidi="ar"/>
              </w:rPr>
              <w:br w:type="textWrapping"/>
            </w:r>
            <w:r>
              <w:rPr>
                <w:rFonts w:hint="eastAsia" w:ascii="仿宋" w:hAnsi="仿宋" w:cs="仿宋"/>
                <w:color w:val="000000"/>
                <w:kern w:val="0"/>
                <w:lang w:bidi="ar"/>
              </w:rPr>
              <w:t>联系人：</w:t>
            </w:r>
            <w:r>
              <w:rPr>
                <w:rFonts w:hint="eastAsia" w:ascii="仿宋" w:hAnsi="仿宋" w:cs="仿宋"/>
                <w:lang w:val="en-US" w:eastAsia="zh-CN"/>
              </w:rPr>
              <w:t>李老师</w:t>
            </w:r>
          </w:p>
          <w:p>
            <w:pPr>
              <w:widowControl/>
              <w:jc w:val="left"/>
              <w:textAlignment w:val="center"/>
              <w:rPr>
                <w:rFonts w:hint="eastAsia" w:ascii="仿宋" w:hAnsi="仿宋" w:cs="仿宋"/>
                <w:color w:val="000000"/>
              </w:rPr>
            </w:pPr>
            <w:r>
              <w:rPr>
                <w:rFonts w:hint="eastAsia" w:ascii="仿宋" w:hAnsi="仿宋" w:cs="仿宋"/>
                <w:color w:val="000000"/>
                <w:lang w:bidi="ar"/>
              </w:rPr>
              <w:t>联系方式：</w:t>
            </w:r>
            <w:r>
              <w:rPr>
                <w:rFonts w:hint="eastAsia" w:ascii="仿宋" w:hAnsi="仿宋" w:cs="仿宋"/>
                <w:lang w:val="en-US" w:eastAsia="zh-CN"/>
              </w:rPr>
              <w:t>18612033334</w:t>
            </w:r>
          </w:p>
        </w:tc>
      </w:tr>
      <w:tr>
        <w:tblPrEx>
          <w:tblCellMar>
            <w:top w:w="0" w:type="dxa"/>
            <w:left w:w="108" w:type="dxa"/>
            <w:bottom w:w="0" w:type="dxa"/>
            <w:right w:w="108" w:type="dxa"/>
          </w:tblCellMar>
        </w:tblPrEx>
        <w:trPr>
          <w:trHeight w:val="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是否退还投标文件</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否</w:t>
            </w:r>
          </w:p>
        </w:tc>
      </w:tr>
      <w:tr>
        <w:tblPrEx>
          <w:tblCellMar>
            <w:top w:w="0" w:type="dxa"/>
            <w:left w:w="108" w:type="dxa"/>
            <w:bottom w:w="0" w:type="dxa"/>
            <w:right w:w="108" w:type="dxa"/>
          </w:tblCellMar>
        </w:tblPrEx>
        <w:trPr>
          <w:trHeight w:val="8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23</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开标时间和地点</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lang w:val="en-US" w:eastAsia="zh-CN"/>
              </w:rPr>
            </w:pPr>
            <w:r>
              <w:rPr>
                <w:rFonts w:hint="eastAsia" w:ascii="仿宋" w:hAnsi="仿宋" w:cs="仿宋"/>
                <w:color w:val="000000"/>
                <w:kern w:val="0"/>
                <w:lang w:bidi="ar"/>
              </w:rPr>
              <w:t>开标时间：</w:t>
            </w:r>
            <w:r>
              <w:rPr>
                <w:rFonts w:hint="eastAsia" w:ascii="仿宋" w:hAnsi="仿宋" w:cs="仿宋"/>
                <w:lang w:eastAsia="zh"/>
              </w:rPr>
              <w:t>2026年</w:t>
            </w:r>
            <w:r>
              <w:rPr>
                <w:rFonts w:hint="eastAsia" w:ascii="仿宋" w:hAnsi="仿宋" w:cs="仿宋"/>
                <w:u w:val="single"/>
                <w:lang w:val="en-US" w:eastAsia="zh-CN"/>
              </w:rPr>
              <w:t>7</w:t>
            </w:r>
            <w:r>
              <w:rPr>
                <w:rFonts w:hint="eastAsia" w:ascii="仿宋" w:hAnsi="仿宋" w:cs="仿宋"/>
                <w:lang w:eastAsia="zh"/>
              </w:rPr>
              <w:t>月</w:t>
            </w:r>
            <w:r>
              <w:rPr>
                <w:rFonts w:hint="eastAsia" w:ascii="仿宋" w:hAnsi="仿宋" w:cs="仿宋"/>
                <w:u w:val="single"/>
                <w:lang w:val="en-US" w:eastAsia="zh-CN"/>
              </w:rPr>
              <w:t>31</w:t>
            </w:r>
            <w:r>
              <w:rPr>
                <w:rFonts w:hint="eastAsia" w:ascii="仿宋" w:hAnsi="仿宋" w:cs="仿宋"/>
                <w:lang w:eastAsia="zh"/>
              </w:rPr>
              <w:t>日9:</w:t>
            </w:r>
            <w:r>
              <w:rPr>
                <w:rFonts w:hint="eastAsia" w:ascii="仿宋" w:hAnsi="仿宋" w:cs="仿宋"/>
              </w:rPr>
              <w:t>30</w:t>
            </w:r>
            <w:r>
              <w:rPr>
                <w:rFonts w:hint="eastAsia" w:ascii="仿宋" w:hAnsi="仿宋" w:cs="仿宋"/>
                <w:color w:val="000000"/>
                <w:kern w:val="0"/>
                <w:lang w:bidi="ar"/>
              </w:rPr>
              <w:br w:type="textWrapping"/>
            </w:r>
            <w:r>
              <w:rPr>
                <w:rFonts w:hint="eastAsia" w:ascii="仿宋" w:hAnsi="仿宋" w:cs="仿宋"/>
                <w:color w:val="000000"/>
                <w:kern w:val="0"/>
                <w:lang w:bidi="ar"/>
              </w:rPr>
              <w:t>开标地点：</w:t>
            </w:r>
            <w:r>
              <w:rPr>
                <w:rFonts w:hint="eastAsia" w:ascii="仿宋" w:hAnsi="仿宋" w:eastAsia="仿宋" w:cs="仿宋"/>
                <w:i w:val="0"/>
                <w:iCs w:val="0"/>
                <w:caps w:val="0"/>
                <w:spacing w:val="0"/>
                <w:sz w:val="24"/>
                <w:szCs w:val="24"/>
                <w:shd w:val="clear"/>
              </w:rPr>
              <w:t>北京市海淀区首体南路2号</w:t>
            </w:r>
            <w:r>
              <w:rPr>
                <w:rFonts w:hint="eastAsia" w:ascii="仿宋" w:hAnsi="仿宋" w:cs="仿宋"/>
                <w:lang w:val="en-US" w:eastAsia="zh-CN"/>
              </w:rPr>
              <w:t>中国机械科学研究总院集团有限公司。</w:t>
            </w:r>
          </w:p>
          <w:p>
            <w:pPr>
              <w:widowControl/>
              <w:jc w:val="left"/>
              <w:textAlignment w:val="center"/>
              <w:rPr>
                <w:rFonts w:hint="default" w:ascii="仿宋" w:hAnsi="仿宋" w:cs="仿宋"/>
                <w:color w:val="000000"/>
                <w:kern w:val="0"/>
                <w:lang w:val="en-US" w:eastAsia="zh-CN" w:bidi="ar"/>
              </w:rPr>
            </w:pPr>
            <w:r>
              <w:rPr>
                <w:rFonts w:hint="eastAsia" w:ascii="仿宋" w:hAnsi="仿宋" w:cs="仿宋"/>
                <w:color w:val="000000"/>
                <w:kern w:val="0"/>
                <w:lang w:val="en-US" w:eastAsia="zh-CN" w:bidi="ar"/>
              </w:rPr>
              <w:t>开标要求：现场述标。要求制作PPT，PPT中应对“</w:t>
            </w:r>
            <w:r>
              <w:rPr>
                <w:rFonts w:hint="eastAsia" w:ascii="仿宋" w:hAnsi="仿宋" w:cs="仿宋"/>
                <w:lang w:eastAsia="zh"/>
              </w:rPr>
              <w:t xml:space="preserve">第四章 </w:t>
            </w:r>
            <w:r>
              <w:rPr>
                <w:rFonts w:ascii="仿宋" w:hAnsi="仿宋" w:cs="仿宋"/>
              </w:rPr>
              <w:t>项目需求书</w:t>
            </w:r>
            <w:r>
              <w:rPr>
                <w:rFonts w:hint="eastAsia" w:ascii="仿宋" w:hAnsi="仿宋" w:cs="仿宋"/>
                <w:lang w:eastAsia="zh-CN"/>
              </w:rPr>
              <w:t>”</w:t>
            </w:r>
            <w:r>
              <w:rPr>
                <w:rFonts w:hint="eastAsia" w:ascii="仿宋" w:hAnsi="仿宋" w:cs="仿宋"/>
                <w:lang w:val="en-US" w:eastAsia="zh-CN"/>
              </w:rPr>
              <w:t>中主要内容做出响应</w:t>
            </w:r>
            <w:r>
              <w:rPr>
                <w:rFonts w:hint="eastAsia" w:ascii="仿宋" w:hAnsi="仿宋" w:cs="仿宋"/>
                <w:color w:val="000000"/>
                <w:kern w:val="0"/>
                <w:lang w:val="en-US" w:eastAsia="zh-CN" w:bidi="ar"/>
              </w:rPr>
              <w:t>。</w:t>
            </w:r>
          </w:p>
          <w:p>
            <w:pPr>
              <w:widowControl/>
              <w:jc w:val="left"/>
              <w:textAlignment w:val="center"/>
              <w:rPr>
                <w:rFonts w:hint="eastAsia" w:ascii="仿宋" w:hAnsi="仿宋" w:cs="仿宋"/>
                <w:color w:val="000000"/>
                <w:kern w:val="0"/>
                <w:lang w:val="en-US" w:eastAsia="zh-CN" w:bidi="ar"/>
              </w:rPr>
            </w:pPr>
            <w:r>
              <w:rPr>
                <w:rFonts w:hint="eastAsia" w:ascii="仿宋" w:hAnsi="仿宋" w:cs="仿宋"/>
                <w:color w:val="000000"/>
                <w:kern w:val="0"/>
                <w:lang w:val="en-US" w:eastAsia="zh-CN" w:bidi="ar"/>
              </w:rPr>
              <w:t>述标时间：不超过15分钟。</w:t>
            </w:r>
          </w:p>
          <w:p>
            <w:pPr>
              <w:widowControl/>
              <w:jc w:val="left"/>
              <w:textAlignment w:val="center"/>
              <w:rPr>
                <w:rFonts w:hint="eastAsia" w:ascii="仿宋" w:hAnsi="仿宋" w:cs="仿宋"/>
                <w:color w:val="000000"/>
              </w:rPr>
            </w:pPr>
            <w:r>
              <w:rPr>
                <w:rFonts w:hint="eastAsia" w:ascii="仿宋" w:hAnsi="仿宋" w:cs="仿宋"/>
                <w:color w:val="000000"/>
                <w:kern w:val="0"/>
                <w:lang w:val="en-US" w:eastAsia="zh-CN" w:bidi="ar"/>
              </w:rPr>
              <w:t>述标顺序：按照收到投标文件时间倒序排列。</w:t>
            </w:r>
          </w:p>
        </w:tc>
      </w:tr>
      <w:tr>
        <w:tblPrEx>
          <w:tblCellMar>
            <w:top w:w="0" w:type="dxa"/>
            <w:left w:w="108" w:type="dxa"/>
            <w:bottom w:w="0" w:type="dxa"/>
            <w:right w:w="108" w:type="dxa"/>
          </w:tblCellMar>
        </w:tblPrEx>
        <w:trPr>
          <w:trHeight w:val="595"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24</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投标保证金</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color w:val="000000"/>
                <w:lang w:val="en-US" w:eastAsia="zh-CN"/>
              </w:rPr>
            </w:pPr>
            <w:r>
              <w:rPr>
                <w:rFonts w:hint="eastAsia" w:ascii="仿宋" w:hAnsi="仿宋" w:cs="仿宋"/>
                <w:color w:val="000000"/>
                <w:kern w:val="0"/>
                <w:lang w:val="en-US" w:eastAsia="zh-CN" w:bidi="ar"/>
              </w:rPr>
              <w:t xml:space="preserve">无 </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履约保证金</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无</w:t>
            </w:r>
          </w:p>
        </w:tc>
      </w:tr>
      <w:tr>
        <w:tblPrEx>
          <w:tblCellMar>
            <w:top w:w="0" w:type="dxa"/>
            <w:left w:w="108" w:type="dxa"/>
            <w:bottom w:w="0" w:type="dxa"/>
            <w:right w:w="108" w:type="dxa"/>
          </w:tblCellMar>
        </w:tblPrEx>
        <w:trPr>
          <w:trHeight w:val="2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最高投标限价</w:t>
            </w:r>
          </w:p>
        </w:tc>
        <w:tc>
          <w:tcPr>
            <w:tcW w:w="5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200万元人民币</w:t>
            </w:r>
          </w:p>
        </w:tc>
      </w:tr>
      <w:tr>
        <w:tblPrEx>
          <w:tblCellMar>
            <w:top w:w="0" w:type="dxa"/>
            <w:left w:w="108" w:type="dxa"/>
            <w:bottom w:w="0" w:type="dxa"/>
            <w:right w:w="108" w:type="dxa"/>
          </w:tblCellMar>
        </w:tblPrEx>
        <w:trPr>
          <w:trHeight w:val="8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27</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招标答疑</w:t>
            </w:r>
          </w:p>
        </w:tc>
        <w:tc>
          <w:tcPr>
            <w:tcW w:w="53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联系人：</w:t>
            </w:r>
            <w:r>
              <w:rPr>
                <w:rFonts w:hint="eastAsia" w:ascii="仿宋" w:hAnsi="仿宋" w:cs="仿宋"/>
                <w:color w:val="000000"/>
                <w:kern w:val="0"/>
                <w:lang w:val="en-US" w:eastAsia="zh-CN" w:bidi="ar"/>
              </w:rPr>
              <w:t>张老师</w:t>
            </w:r>
            <w:r>
              <w:rPr>
                <w:rFonts w:hint="eastAsia" w:ascii="仿宋" w:hAnsi="仿宋" w:cs="仿宋"/>
                <w:color w:val="000000"/>
                <w:kern w:val="0"/>
                <w:lang w:bidi="ar"/>
              </w:rPr>
              <w:br w:type="textWrapping"/>
            </w:r>
            <w:r>
              <w:rPr>
                <w:rFonts w:hint="eastAsia" w:ascii="仿宋" w:hAnsi="仿宋" w:cs="仿宋"/>
                <w:color w:val="000000"/>
                <w:kern w:val="0"/>
                <w:lang w:bidi="ar"/>
              </w:rPr>
              <w:t>电话：15501282368</w:t>
            </w:r>
            <w:r>
              <w:rPr>
                <w:rFonts w:hint="eastAsia" w:ascii="仿宋" w:hAnsi="仿宋" w:cs="仿宋"/>
                <w:color w:val="000000"/>
                <w:kern w:val="0"/>
                <w:lang w:bidi="ar"/>
              </w:rPr>
              <w:br w:type="textWrapping"/>
            </w:r>
            <w:r>
              <w:rPr>
                <w:rFonts w:hint="eastAsia" w:ascii="仿宋" w:hAnsi="仿宋" w:cs="仿宋"/>
                <w:color w:val="000000"/>
                <w:kern w:val="0"/>
                <w:lang w:bidi="ar"/>
              </w:rPr>
              <w:t>邮箱：zhangpf@cam.com.cn</w:t>
            </w:r>
          </w:p>
        </w:tc>
      </w:tr>
    </w:tbl>
    <w:p>
      <w:pPr>
        <w:adjustRightInd w:val="0"/>
        <w:snapToGrid w:val="0"/>
        <w:spacing w:before="0" w:line="560" w:lineRule="exact"/>
        <w:ind w:firstLine="33" w:firstLineChars="14"/>
        <w:jc w:val="left"/>
        <w:rPr>
          <w:rFonts w:hint="eastAsia" w:ascii="宋体" w:hAnsi="宋体" w:eastAsia="宋体" w:cs="仿宋"/>
          <w:szCs w:val="21"/>
        </w:rPr>
      </w:pPr>
    </w:p>
    <w:p>
      <w:pPr>
        <w:keepNext/>
        <w:keepLines/>
        <w:numPr>
          <w:ilvl w:val="1"/>
          <w:numId w:val="1"/>
        </w:numPr>
        <w:adjustRightInd w:val="0"/>
        <w:snapToGrid w:val="0"/>
        <w:spacing w:before="0" w:line="560" w:lineRule="exact"/>
        <w:jc w:val="center"/>
        <w:outlineLvl w:val="3"/>
        <w:rPr>
          <w:rFonts w:hint="eastAsia" w:ascii="等线 Light" w:hAnsi="等线 Light" w:eastAsia="黑体" w:cs="Times New Roman"/>
          <w:b/>
          <w:bCs/>
          <w:sz w:val="28"/>
          <w:szCs w:val="32"/>
        </w:rPr>
      </w:pPr>
      <w:r>
        <w:rPr>
          <w:rFonts w:hint="eastAsia" w:ascii="等线 Light" w:hAnsi="等线 Light" w:eastAsia="黑体" w:cs="Times New Roman"/>
          <w:b/>
          <w:bCs/>
          <w:sz w:val="28"/>
          <w:szCs w:val="32"/>
        </w:rPr>
        <w:t>投标人须知</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总则</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项目概况</w:t>
      </w:r>
    </w:p>
    <w:p>
      <w:pPr>
        <w:adjustRightInd w:val="0"/>
        <w:snapToGrid w:val="0"/>
        <w:spacing w:before="0" w:line="560" w:lineRule="exact"/>
        <w:ind w:firstLine="480" w:firstLineChars="200"/>
        <w:jc w:val="left"/>
        <w:rPr>
          <w:rFonts w:hint="eastAsia" w:ascii="仿宋" w:hAnsi="仿宋" w:cs="仿宋"/>
          <w:lang w:eastAsia="zh"/>
        </w:rPr>
      </w:pPr>
      <w:r>
        <w:rPr>
          <w:rFonts w:ascii="仿宋" w:hAnsi="仿宋" w:cs="仿宋"/>
        </w:rPr>
        <w:t>1.本招标项目招标人：</w:t>
      </w:r>
      <w:r>
        <w:rPr>
          <w:rFonts w:hint="eastAsia" w:ascii="仿宋" w:hAnsi="仿宋" w:cs="仿宋"/>
          <w:lang w:eastAsia="zh"/>
        </w:rPr>
        <w:t>中国机械科学研究总院集团有限公司</w:t>
      </w:r>
    </w:p>
    <w:p>
      <w:pPr>
        <w:adjustRightInd w:val="0"/>
        <w:snapToGrid w:val="0"/>
        <w:spacing w:before="0" w:line="560" w:lineRule="exact"/>
        <w:ind w:firstLine="480" w:firstLineChars="200"/>
        <w:jc w:val="left"/>
        <w:rPr>
          <w:rFonts w:hint="eastAsia" w:ascii="仿宋" w:hAnsi="仿宋" w:cs="仿宋"/>
          <w:lang w:eastAsia="zh"/>
        </w:rPr>
      </w:pPr>
      <w:r>
        <w:rPr>
          <w:rFonts w:ascii="仿宋" w:hAnsi="仿宋" w:cs="仿宋"/>
        </w:rPr>
        <w:t>2.本项目名称：</w:t>
      </w:r>
      <w:r>
        <w:rPr>
          <w:rFonts w:hint="eastAsia" w:ascii="仿宋" w:hAnsi="仿宋" w:cs="仿宋"/>
          <w:lang w:eastAsia="zh"/>
        </w:rPr>
        <w:t>中国机械总院</w:t>
      </w:r>
      <w:r>
        <w:rPr>
          <w:rFonts w:hint="eastAsia" w:ascii="仿宋" w:hAnsi="仿宋" w:cs="仿宋"/>
        </w:rPr>
        <w:t>“十五五”网络安全和信息化规划编制服务</w:t>
      </w:r>
      <w:r>
        <w:rPr>
          <w:rFonts w:hint="eastAsia" w:ascii="仿宋" w:hAnsi="仿宋" w:cs="仿宋"/>
          <w:lang w:eastAsia="zh"/>
        </w:rPr>
        <w:t>项目</w:t>
      </w:r>
    </w:p>
    <w:p>
      <w:pPr>
        <w:adjustRightInd w:val="0"/>
        <w:snapToGrid w:val="0"/>
        <w:spacing w:before="0" w:line="560" w:lineRule="exact"/>
        <w:ind w:firstLine="480" w:firstLineChars="200"/>
        <w:jc w:val="left"/>
        <w:rPr>
          <w:rFonts w:hint="eastAsia" w:ascii="仿宋" w:hAnsi="仿宋" w:cs="仿宋"/>
          <w:lang w:eastAsia="zh"/>
        </w:rPr>
      </w:pPr>
      <w:r>
        <w:rPr>
          <w:rFonts w:ascii="仿宋" w:hAnsi="仿宋" w:cs="仿宋"/>
        </w:rPr>
        <w:t>3.本项目实施地点：</w:t>
      </w:r>
      <w:r>
        <w:rPr>
          <w:rFonts w:hint="eastAsia" w:ascii="仿宋" w:hAnsi="仿宋" w:cs="仿宋"/>
          <w:lang w:eastAsia="zh"/>
        </w:rPr>
        <w:t>北京市首体南路2号 中国机械科学研究总院集团有限公司</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hint="eastAsia" w:ascii="Times New Roman" w:hAnsi="Times New Roman" w:eastAsia="黑体" w:cs="Times New Roman"/>
          <w:b/>
          <w:bCs/>
          <w:szCs w:val="28"/>
        </w:rPr>
        <w:t>资金来源</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rPr>
        <w:t>1</w:t>
      </w:r>
      <w:r>
        <w:rPr>
          <w:rFonts w:ascii="仿宋" w:hAnsi="仿宋" w:cs="仿宋"/>
        </w:rPr>
        <w:t>.本招标项目的资金</w:t>
      </w:r>
      <w:r>
        <w:rPr>
          <w:rFonts w:hint="eastAsia" w:ascii="仿宋" w:hAnsi="仿宋" w:cs="仿宋"/>
        </w:rPr>
        <w:t>来源</w:t>
      </w:r>
      <w:r>
        <w:rPr>
          <w:rFonts w:ascii="仿宋" w:hAnsi="仿宋" w:cs="仿宋"/>
        </w:rPr>
        <w:t>：</w:t>
      </w:r>
      <w:r>
        <w:rPr>
          <w:rFonts w:hint="eastAsia" w:ascii="仿宋" w:hAnsi="仿宋" w:cs="仿宋"/>
        </w:rPr>
        <w:t>自筹</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招标范围及服务要求</w:t>
      </w:r>
    </w:p>
    <w:p>
      <w:pPr>
        <w:adjustRightInd w:val="0"/>
        <w:snapToGrid w:val="0"/>
        <w:spacing w:before="0" w:line="560" w:lineRule="exact"/>
        <w:ind w:firstLine="480" w:firstLineChars="200"/>
        <w:rPr>
          <w:rFonts w:hint="eastAsia" w:ascii="仿宋" w:hAnsi="仿宋" w:cs="仿宋"/>
          <w:color w:val="000000"/>
        </w:rPr>
      </w:pPr>
      <w:r>
        <w:rPr>
          <w:rFonts w:ascii="仿宋" w:hAnsi="仿宋" w:cs="仿宋"/>
        </w:rPr>
        <w:t>1.本次招标范围：</w:t>
      </w:r>
      <w:r>
        <w:rPr>
          <w:rFonts w:hint="eastAsia" w:ascii="仿宋" w:hAnsi="仿宋" w:cs="仿宋"/>
          <w:color w:val="000000"/>
        </w:rPr>
        <w:t>本次咨询服务范围覆盖中国机械总院“十五五”网络安全和信息化发展全领域，突出管理效率提升、财务数智化转型升级、智能化穿透式监管建设、AI+科研深度融合,包括但不限于基础设施升级、数据资源体系建设、业务应用系统迭代、数字产业培育、网络安全保障、数字人才培养等方面的战略规划、方案设计和实施指导。</w:t>
      </w:r>
    </w:p>
    <w:p>
      <w:pPr>
        <w:adjustRightInd w:val="0"/>
        <w:snapToGrid w:val="0"/>
        <w:spacing w:before="0" w:line="560" w:lineRule="exact"/>
        <w:ind w:firstLine="480" w:firstLineChars="200"/>
        <w:rPr>
          <w:rFonts w:hint="eastAsia" w:ascii="仿宋" w:hAnsi="仿宋" w:cs="仿宋"/>
        </w:rPr>
      </w:pPr>
      <w:r>
        <w:rPr>
          <w:rFonts w:ascii="仿宋" w:hAnsi="仿宋" w:cs="仿宋"/>
        </w:rPr>
        <w:t>2.本项目的</w:t>
      </w:r>
      <w:r>
        <w:rPr>
          <w:rFonts w:hint="eastAsia" w:ascii="仿宋" w:hAnsi="仿宋" w:cs="仿宋"/>
          <w:lang w:eastAsia="zh"/>
        </w:rPr>
        <w:t>服务</w:t>
      </w:r>
      <w:r>
        <w:rPr>
          <w:rFonts w:ascii="仿宋" w:hAnsi="仿宋" w:cs="仿宋"/>
        </w:rPr>
        <w:t>要求：见</w:t>
      </w:r>
      <w:r>
        <w:rPr>
          <w:rFonts w:hint="eastAsia" w:ascii="仿宋" w:hAnsi="仿宋" w:cs="仿宋"/>
          <w:lang w:eastAsia="zh"/>
        </w:rPr>
        <w:t xml:space="preserve">“第四章 </w:t>
      </w:r>
      <w:r>
        <w:rPr>
          <w:rFonts w:ascii="仿宋" w:hAnsi="仿宋" w:cs="仿宋"/>
        </w:rPr>
        <w:t>项目需求书</w:t>
      </w:r>
      <w:r>
        <w:rPr>
          <w:rFonts w:hint="eastAsia" w:ascii="仿宋" w:hAnsi="仿宋" w:cs="仿宋"/>
          <w:lang w:eastAsia="zh"/>
        </w:rPr>
        <w:t>”</w:t>
      </w:r>
      <w:r>
        <w:rPr>
          <w:rFonts w:ascii="仿宋" w:hAnsi="仿宋" w:cs="仿宋"/>
        </w:rPr>
        <w:t>。</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投标人资格要求</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1.投标人应具备承担本项目的资质和资格条件。</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w:t>
      </w:r>
      <w:r>
        <w:rPr>
          <w:rFonts w:ascii="仿宋" w:hAnsi="仿宋" w:cs="仿宋"/>
        </w:rPr>
        <w:t>.投标人不得存在下列情形之一：</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1）被责令停业的；</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2）被暂停或取消投标资格的；</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3）财产被接管或冻结的；</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4）在最近三年内有骗取中标或严重违约的。</w:t>
      </w:r>
    </w:p>
    <w:p>
      <w:pPr>
        <w:adjustRightInd w:val="0"/>
        <w:snapToGrid w:val="0"/>
        <w:spacing w:before="0" w:line="560" w:lineRule="exact"/>
        <w:ind w:firstLine="480" w:firstLineChars="200"/>
        <w:jc w:val="left"/>
        <w:rPr>
          <w:rFonts w:hint="eastAsia" w:ascii="仿宋" w:hAnsi="仿宋" w:cs="仿宋"/>
          <w:lang w:eastAsia="zh-CN"/>
        </w:rPr>
      </w:pPr>
      <w:r>
        <w:rPr>
          <w:rFonts w:hint="eastAsia" w:ascii="仿宋" w:hAnsi="仿宋" w:cs="仿宋"/>
        </w:rPr>
        <w:t>（5</w:t>
      </w:r>
      <w:r>
        <w:rPr>
          <w:rFonts w:ascii="仿宋" w:hAnsi="仿宋" w:cs="仿宋"/>
        </w:rPr>
        <w:t>）</w:t>
      </w:r>
      <w:r>
        <w:rPr>
          <w:rFonts w:hint="eastAsia" w:ascii="仿宋" w:hAnsi="仿宋" w:cs="仿宋"/>
        </w:rPr>
        <w:t>与其他投标人同属母公司的分公司、子公司，或为其他投标人的分公司、子公司及股东之一</w:t>
      </w:r>
      <w:r>
        <w:rPr>
          <w:rFonts w:hint="eastAsia" w:ascii="仿宋" w:hAnsi="仿宋" w:cs="仿宋"/>
          <w:lang w:eastAsia="zh-CN"/>
        </w:rPr>
        <w:t>；</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hint="eastAsia" w:ascii="仿宋" w:hAnsi="仿宋" w:cs="仿宋"/>
          <w:lang w:val="en-US" w:eastAsia="zh-CN"/>
        </w:rPr>
        <w:t>6</w:t>
      </w:r>
      <w:r>
        <w:rPr>
          <w:rFonts w:ascii="仿宋" w:hAnsi="仿宋" w:cs="仿宋"/>
        </w:rPr>
        <w:t>）</w:t>
      </w:r>
      <w:r>
        <w:rPr>
          <w:rFonts w:hint="eastAsia" w:ascii="仿宋" w:hAnsi="仿宋" w:cs="仿宋"/>
          <w:lang w:val="en-US" w:eastAsia="zh-CN"/>
        </w:rPr>
        <w:t>未被列入政府采购、军队采购等失信名单，未被列入军队采购暂停名单和预警名单</w:t>
      </w:r>
      <w:r>
        <w:rPr>
          <w:rFonts w:hint="eastAsia" w:ascii="仿宋" w:hAnsi="仿宋" w:cs="仿宋"/>
        </w:rPr>
        <w:t>。</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3.投标人应当具备下列条件：</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（一）具有独立承担民事责任的能力；</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（二）具有良好的商业信誉和健全的财务会计制度；</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（三）具有履行合同所必需的设备和专业技术能力；</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（四）有依法缴纳税收和社会保障资金的良好记录；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（五）参加本次投标前三年内，在经营活动中没有重大违法记录；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（六）法律、行政法规规定的其他条件。</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保密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参与招标投标活动的各方应对招标文件和投标文件中的商业和技术等秘密保密，违者应对由此造成的后果承担法律责任。</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语言文字</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提交的投标文件以及投标人与招标人就有关投标的所有来往书面文件均须使用中文。投标文件中如附有外文资料，主要部分要对应翻译成中文并附在相关外文资料后面。未翻译的外文资料，评标委员会将其视为无效材料。</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翻译的中文资料与外文资料如果出现差异和矛盾时，以中文为准。涉嫌提供虚假材料的按照相关法律法规处理。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如因未翻译而造成对投标人的不利后果，由投标人承担。</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计量单位</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所有计量均采用中华人民共和国法定计量单位。</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踏勘现场</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本项目不组织。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投标预备会</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本项目不召开。</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分包</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lang w:eastAsia="zh"/>
        </w:rPr>
        <w:t>本项目</w:t>
      </w:r>
      <w:r>
        <w:rPr>
          <w:rFonts w:hint="eastAsia" w:ascii="仿宋" w:hAnsi="仿宋" w:cs="仿宋"/>
        </w:rPr>
        <w:t>未经书面允许</w:t>
      </w:r>
      <w:r>
        <w:rPr>
          <w:rFonts w:hint="eastAsia" w:ascii="仿宋" w:hAnsi="仿宋" w:cs="仿宋"/>
          <w:lang w:eastAsia="zh"/>
        </w:rPr>
        <w:t>不得转包或分包。</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招标文件</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招标文件的组成</w:t>
      </w:r>
    </w:p>
    <w:p>
      <w:pPr>
        <w:numPr>
          <w:ilvl w:val="0"/>
          <w:numId w:val="4"/>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招标文件是投标人准备投标文件和参加投标的依据，同时也是资格审查、评标的重要依据。招标文件用以阐明招标项目所需的资质、技术、服务及报价等要求、招标投标程序、有关规定和注意事项以及合同主要条款等。本招标文件包括以下内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（1</w:t>
      </w:r>
      <w:r>
        <w:rPr>
          <w:rFonts w:ascii="仿宋" w:hAnsi="仿宋" w:cs="仿宋"/>
        </w:rPr>
        <w:t>）投标人须知；</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w:t>
      </w:r>
      <w:r>
        <w:rPr>
          <w:rFonts w:ascii="仿宋" w:hAnsi="仿宋" w:cs="仿宋"/>
        </w:rPr>
        <w:t>）评标办法；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w:t>
      </w:r>
      <w:r>
        <w:rPr>
          <w:rFonts w:ascii="仿宋" w:hAnsi="仿宋" w:cs="仿宋"/>
        </w:rPr>
        <w:t>）合同条款及格式；</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（4</w:t>
      </w:r>
      <w:r>
        <w:rPr>
          <w:rFonts w:ascii="仿宋" w:hAnsi="仿宋" w:cs="仿宋"/>
        </w:rPr>
        <w:t>）项目需求书；</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（5</w:t>
      </w:r>
      <w:r>
        <w:rPr>
          <w:rFonts w:ascii="仿宋" w:hAnsi="仿宋" w:cs="仿宋"/>
        </w:rPr>
        <w:t>）投标文件格式。</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二、投标人应认真阅读和充分理解招标文件中所有的事项、格式条款和规范要求。投标人没有对招标文件全面作出实质性响应所产生的风险由投标人承担。</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招标文件的澄清</w:t>
      </w:r>
      <w:r>
        <w:rPr>
          <w:rFonts w:hint="eastAsia" w:ascii="Times New Roman" w:hAnsi="Times New Roman" w:eastAsia="黑体" w:cs="Times New Roman"/>
          <w:b/>
          <w:bCs/>
          <w:szCs w:val="28"/>
        </w:rPr>
        <w:t>和修改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采购人可以依法对招标文件进行澄清或者修改。</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采购人对已发出的招标文件进行澄清或者修改，应当以书面形式将澄清或者修改的内容通知所有购买了招标文件的投标人。该澄清或者修改的内容为招标文件的组成部分，澄清或者修改的内容可能影响投标文件编制的，采购人发布公告并书面通知投标人的时间，应当在投标截止时间前</w:t>
      </w:r>
      <w:r>
        <w:rPr>
          <w:rFonts w:hint="eastAsia" w:ascii="仿宋" w:hAnsi="仿宋" w:cs="仿宋"/>
          <w:lang w:val="en-US" w:eastAsia="zh-CN"/>
        </w:rPr>
        <w:t>15</w:t>
      </w:r>
      <w:r>
        <w:rPr>
          <w:rFonts w:ascii="仿宋" w:hAnsi="仿宋" w:cs="仿宋"/>
        </w:rPr>
        <w:t>天；不足上述时间的，应当顺延提交投标文件的截止时间。</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投标人认为需要对招标文件进行澄清或者修改的，可以以书面形式向采购人提出申请，但采购人可以决定是否采纳投标人的申请事项。</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投标文件</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投标文件的组成</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投标文件</w:t>
      </w:r>
      <w:r>
        <w:rPr>
          <w:rFonts w:hint="eastAsia" w:ascii="仿宋" w:hAnsi="仿宋" w:cs="仿宋"/>
        </w:rPr>
        <w:t>分为两部分，投标报价文件、商务技术文件。两部分分开单独装订。</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投标报价文件包括：投标一览表</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商务技术文件</w:t>
      </w:r>
      <w:r>
        <w:rPr>
          <w:rFonts w:ascii="仿宋" w:hAnsi="仿宋" w:cs="仿宋"/>
        </w:rPr>
        <w:t>包括下列内容：</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投标函；</w:t>
      </w:r>
    </w:p>
    <w:p>
      <w:pPr>
        <w:numPr>
          <w:ilvl w:val="0"/>
          <w:numId w:val="5"/>
        </w:numPr>
        <w:adjustRightInd w:val="0"/>
        <w:snapToGrid w:val="0"/>
        <w:spacing w:before="0" w:line="560" w:lineRule="exact"/>
        <w:ind w:firstLine="480" w:firstLineChars="200"/>
        <w:jc w:val="left"/>
        <w:rPr>
          <w:rFonts w:hint="eastAsia" w:ascii="仿宋" w:hAnsi="仿宋" w:cs="仿宋"/>
        </w:rPr>
      </w:pPr>
      <w:r>
        <w:rPr>
          <w:rFonts w:ascii="仿宋" w:hAnsi="仿宋" w:cs="仿宋"/>
        </w:rPr>
        <w:t>承诺函</w:t>
      </w:r>
      <w:r>
        <w:rPr>
          <w:rFonts w:hint="eastAsia" w:ascii="仿宋" w:hAnsi="仿宋" w:cs="仿宋"/>
        </w:rPr>
        <w:t>；</w:t>
      </w:r>
    </w:p>
    <w:p>
      <w:pPr>
        <w:numPr>
          <w:ilvl w:val="0"/>
          <w:numId w:val="5"/>
        </w:numPr>
        <w:adjustRightInd w:val="0"/>
        <w:snapToGrid w:val="0"/>
        <w:spacing w:before="0" w:line="560" w:lineRule="exact"/>
        <w:ind w:firstLine="480" w:firstLineChars="200"/>
        <w:jc w:val="left"/>
        <w:rPr>
          <w:rFonts w:hint="eastAsia" w:ascii="仿宋" w:hAnsi="仿宋" w:cs="仿宋"/>
        </w:rPr>
      </w:pPr>
      <w:r>
        <w:rPr>
          <w:rFonts w:ascii="仿宋" w:hAnsi="仿宋" w:cs="仿宋"/>
        </w:rPr>
        <w:t>法定代表人</w:t>
      </w:r>
      <w:r>
        <w:rPr>
          <w:rFonts w:hint="eastAsia" w:ascii="仿宋" w:hAnsi="仿宋" w:cs="仿宋"/>
        </w:rPr>
        <w:t>资格</w:t>
      </w:r>
      <w:r>
        <w:rPr>
          <w:rFonts w:ascii="仿宋" w:hAnsi="仿宋" w:cs="仿宋"/>
        </w:rPr>
        <w:t>证明书</w:t>
      </w:r>
      <w:r>
        <w:rPr>
          <w:rFonts w:hint="eastAsia" w:ascii="仿宋" w:hAnsi="仿宋" w:cs="仿宋"/>
        </w:rPr>
        <w:t>/</w:t>
      </w:r>
      <w:r>
        <w:rPr>
          <w:rFonts w:ascii="仿宋" w:hAnsi="仿宋" w:cs="仿宋"/>
        </w:rPr>
        <w:t>法人授权委托书原件；</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商务和技术偏差表；</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投标文件真实有效声明函；</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企业营业执照、ISO9001质量管理体系认证、ISO</w:t>
      </w:r>
      <w:r>
        <w:rPr>
          <w:rFonts w:hint="eastAsia" w:ascii="仿宋" w:hAnsi="仿宋" w:cs="仿宋"/>
          <w:lang w:eastAsia="zh"/>
        </w:rPr>
        <w:t>27001</w:t>
      </w:r>
      <w:r>
        <w:rPr>
          <w:rFonts w:hint="eastAsia" w:ascii="仿宋" w:hAnsi="仿宋" w:cs="仿宋"/>
          <w:shd w:val="clear" w:color="auto" w:fill="FFFFFF"/>
          <w:lang w:bidi="ar"/>
        </w:rPr>
        <w:t>信息安全管理体系认证</w:t>
      </w:r>
      <w:r>
        <w:rPr>
          <w:rFonts w:hint="eastAsia" w:ascii="仿宋" w:hAnsi="仿宋" w:cs="仿宋"/>
          <w:lang w:eastAsia="zh"/>
        </w:rPr>
        <w:t>、</w:t>
      </w:r>
      <w:r>
        <w:rPr>
          <w:rFonts w:hint="eastAsia" w:ascii="仿宋" w:hAnsi="仿宋" w:cs="仿宋"/>
        </w:rPr>
        <w:t>ISO</w:t>
      </w:r>
      <w:r>
        <w:rPr>
          <w:rFonts w:hint="eastAsia" w:ascii="仿宋" w:hAnsi="仿宋" w:cs="仿宋"/>
          <w:lang w:eastAsia="zh"/>
        </w:rPr>
        <w:t>20000信息技术服务管理体系认证</w:t>
      </w:r>
      <w:r>
        <w:rPr>
          <w:rFonts w:hint="eastAsia" w:ascii="仿宋" w:hAnsi="仿宋" w:cs="仿宋"/>
        </w:rPr>
        <w:t>证书的复印件；</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近3年（2023年度、2024年度、2025年度）第三方会计师事务所审计的财务审计报告，包括资产负债表、损益表或现金流量表、利润表；</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w:t>
      </w:r>
      <w:r>
        <w:rPr>
          <w:rFonts w:hint="eastAsia" w:ascii="仿宋" w:hAnsi="仿宋" w:cs="仿宋"/>
          <w:lang w:eastAsia="zh"/>
        </w:rPr>
        <w:t>相关</w:t>
      </w:r>
      <w:r>
        <w:rPr>
          <w:rFonts w:hint="eastAsia" w:ascii="仿宋" w:hAnsi="仿宋" w:cs="仿宋"/>
        </w:rPr>
        <w:t>项目业绩一览表</w:t>
      </w:r>
      <w:r>
        <w:rPr>
          <w:rFonts w:hint="eastAsia" w:ascii="仿宋" w:hAnsi="仿宋" w:cs="仿宋"/>
          <w:lang w:eastAsia="zh"/>
        </w:rPr>
        <w:t>，及项目证明材料（如合同复印件、客户评价等）</w:t>
      </w:r>
      <w:r>
        <w:rPr>
          <w:rFonts w:hint="eastAsia" w:ascii="仿宋" w:hAnsi="仿宋" w:cs="仿宋"/>
        </w:rPr>
        <w:t>；</w:t>
      </w:r>
    </w:p>
    <w:p>
      <w:pPr>
        <w:numPr>
          <w:ilvl w:val="0"/>
          <w:numId w:val="5"/>
        </w:numPr>
        <w:adjustRightInd w:val="0"/>
        <w:snapToGrid w:val="0"/>
        <w:spacing w:before="0" w:line="560" w:lineRule="exact"/>
        <w:ind w:firstLine="480" w:firstLineChars="200"/>
        <w:jc w:val="left"/>
        <w:rPr>
          <w:rFonts w:hint="eastAsia" w:ascii="仿宋" w:hAnsi="仿宋" w:cs="仿宋"/>
        </w:rPr>
      </w:pPr>
      <w:r>
        <w:rPr>
          <w:rFonts w:ascii="仿宋" w:hAnsi="仿宋" w:cs="仿宋"/>
        </w:rPr>
        <w:t>投标人</w:t>
      </w:r>
      <w:r>
        <w:rPr>
          <w:rFonts w:hint="eastAsia" w:ascii="仿宋" w:hAnsi="仿宋" w:cs="仿宋"/>
          <w:lang w:eastAsia="zh"/>
        </w:rPr>
        <w:t>实际承担</w:t>
      </w:r>
      <w:r>
        <w:rPr>
          <w:rFonts w:ascii="仿宋" w:hAnsi="仿宋" w:cs="仿宋"/>
        </w:rPr>
        <w:t>本项目</w:t>
      </w:r>
      <w:r>
        <w:rPr>
          <w:rFonts w:hint="eastAsia" w:ascii="仿宋" w:hAnsi="仿宋" w:cs="仿宋"/>
          <w:lang w:eastAsia="zh"/>
        </w:rPr>
        <w:t>的团队组成及核心成员简历、相关经验介绍、项目</w:t>
      </w:r>
      <w:r>
        <w:rPr>
          <w:rFonts w:ascii="仿宋" w:hAnsi="仿宋" w:cs="仿宋"/>
        </w:rPr>
        <w:t>人员情况表</w:t>
      </w:r>
      <w:r>
        <w:rPr>
          <w:rFonts w:hint="eastAsia" w:ascii="仿宋" w:hAnsi="仿宋" w:cs="仿宋"/>
        </w:rPr>
        <w:t>；</w:t>
      </w:r>
    </w:p>
    <w:p>
      <w:pPr>
        <w:numPr>
          <w:ilvl w:val="0"/>
          <w:numId w:val="5"/>
        </w:numPr>
        <w:adjustRightInd w:val="0"/>
        <w:snapToGrid w:val="0"/>
        <w:spacing w:before="0" w:line="560" w:lineRule="exact"/>
        <w:ind w:firstLine="480" w:firstLineChars="200"/>
        <w:jc w:val="left"/>
        <w:rPr>
          <w:rFonts w:hint="eastAsia" w:ascii="仿宋" w:hAnsi="仿宋" w:cs="仿宋"/>
        </w:rPr>
      </w:pPr>
      <w:r>
        <w:rPr>
          <w:rFonts w:ascii="仿宋" w:hAnsi="仿宋" w:cs="仿宋"/>
        </w:rPr>
        <w:t>项目经理的相关资料复印件并附投标人本项目管理、技术、服务人员情况；</w:t>
      </w:r>
    </w:p>
    <w:p>
      <w:pPr>
        <w:numPr>
          <w:ilvl w:val="0"/>
          <w:numId w:val="5"/>
        </w:num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投标人认为需要提供的其他文件和材料；</w:t>
      </w:r>
    </w:p>
    <w:p>
      <w:pPr>
        <w:adjustRightInd w:val="0"/>
        <w:snapToGrid w:val="0"/>
        <w:spacing w:before="0" w:line="560" w:lineRule="exact"/>
        <w:ind w:firstLine="480" w:firstLineChars="200"/>
        <w:jc w:val="left"/>
        <w:rPr>
          <w:rFonts w:hint="eastAsia" w:ascii="仿宋" w:hAnsi="仿宋" w:cs="仿宋"/>
          <w:lang w:eastAsia="zh"/>
        </w:rPr>
      </w:pPr>
      <w:r>
        <w:rPr>
          <w:rFonts w:hint="eastAsia" w:ascii="仿宋" w:hAnsi="仿宋" w:cs="仿宋"/>
          <w:lang w:eastAsia="zh"/>
        </w:rPr>
        <w:t>（</w:t>
      </w:r>
      <w:r>
        <w:rPr>
          <w:rFonts w:hint="eastAsia" w:ascii="仿宋" w:hAnsi="仿宋" w:cs="仿宋"/>
        </w:rPr>
        <w:t>以上</w:t>
      </w:r>
      <w:r>
        <w:rPr>
          <w:rFonts w:hint="eastAsia" w:ascii="仿宋" w:hAnsi="仿宋" w:cs="仿宋"/>
          <w:lang w:eastAsia="zh"/>
        </w:rPr>
        <w:t>材料</w:t>
      </w:r>
      <w:r>
        <w:rPr>
          <w:rFonts w:hint="eastAsia" w:ascii="仿宋" w:hAnsi="仿宋" w:cs="仿宋"/>
        </w:rPr>
        <w:t>提供复印件者须加盖公章</w:t>
      </w:r>
      <w:r>
        <w:rPr>
          <w:rFonts w:hint="eastAsia" w:ascii="仿宋" w:hAnsi="仿宋" w:cs="仿宋"/>
          <w:lang w:eastAsia="zh"/>
        </w:rPr>
        <w:t>。)</w:t>
      </w:r>
    </w:p>
    <w:p>
      <w:pPr>
        <w:numPr>
          <w:ilvl w:val="0"/>
          <w:numId w:val="5"/>
        </w:numPr>
        <w:adjustRightInd w:val="0"/>
        <w:snapToGrid w:val="0"/>
        <w:spacing w:before="0" w:line="560" w:lineRule="exact"/>
        <w:ind w:firstLine="480" w:firstLineChars="200"/>
        <w:jc w:val="left"/>
        <w:rPr>
          <w:rFonts w:hint="eastAsia" w:ascii="仿宋" w:hAnsi="仿宋" w:cs="仿宋"/>
        </w:rPr>
      </w:pPr>
      <w:r>
        <w:rPr>
          <w:rFonts w:ascii="仿宋" w:hAnsi="仿宋" w:cs="仿宋"/>
        </w:rPr>
        <w:t>技术</w:t>
      </w:r>
      <w:r>
        <w:rPr>
          <w:rFonts w:hint="eastAsia" w:ascii="仿宋" w:hAnsi="仿宋" w:cs="仿宋"/>
        </w:rPr>
        <w:t>服务</w:t>
      </w:r>
      <w:r>
        <w:rPr>
          <w:rFonts w:ascii="仿宋" w:hAnsi="仿宋" w:cs="仿宋"/>
        </w:rPr>
        <w:t>方案</w:t>
      </w:r>
    </w:p>
    <w:p>
      <w:pPr>
        <w:numPr>
          <w:ilvl w:val="0"/>
          <w:numId w:val="5"/>
        </w:numPr>
        <w:adjustRightInd w:val="0"/>
        <w:snapToGrid w:val="0"/>
        <w:spacing w:before="0" w:line="560" w:lineRule="exact"/>
        <w:ind w:firstLine="480" w:firstLineChars="200"/>
        <w:jc w:val="left"/>
        <w:rPr>
          <w:rFonts w:hint="eastAsia" w:ascii="仿宋" w:hAnsi="仿宋" w:cs="仿宋"/>
        </w:rPr>
      </w:pPr>
      <w:r>
        <w:rPr>
          <w:rFonts w:ascii="仿宋" w:hAnsi="仿宋" w:cs="仿宋"/>
        </w:rPr>
        <w:t>其他部分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投标人按照招标文件要求作出的其他应答和承诺。</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投标文件格式</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投标人应执行招标文件第五章的规定要求。</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投标文件编制顺序</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见</w:t>
      </w:r>
      <w:r>
        <w:rPr>
          <w:rFonts w:ascii="仿宋" w:hAnsi="仿宋" w:cs="仿宋"/>
        </w:rPr>
        <w:t>本须知第</w:t>
      </w:r>
      <w:r>
        <w:rPr>
          <w:rFonts w:hint="eastAsia" w:ascii="仿宋" w:hAnsi="仿宋" w:cs="仿宋"/>
        </w:rPr>
        <w:t>3.1条。</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投标有效期</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本项目投标有效期为投标截止时间届满后</w:t>
      </w:r>
      <w:r>
        <w:rPr>
          <w:rFonts w:ascii="仿宋" w:hAnsi="仿宋" w:cs="仿宋"/>
        </w:rPr>
        <w:t>90天。投标人投标文件中必须载明投标有效期，投标文件中载明的投标有效期可以长于招标文件规定的期限，但不得短于招标文件规定的期限。否则，其投标文件将作为无效投标处理。</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因不可抗力事件或因招标人采购需求作出必要调整，招标人可于投标有效期届满之前与投标人协商延长投标有效期。投标人拒绝延长投标有效期的，不得再参与该项目后续采购活动。投标人同意延长投标有效期的，不能修改投标文件。</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投标文件的印制和签署</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1.投标人应准备投标文件正本</w:t>
      </w:r>
      <w:r>
        <w:rPr>
          <w:rFonts w:hint="eastAsia" w:ascii="仿宋" w:hAnsi="仿宋" w:cs="仿宋"/>
        </w:rPr>
        <w:t>1</w:t>
      </w:r>
      <w:r>
        <w:rPr>
          <w:rFonts w:ascii="仿宋" w:hAnsi="仿宋" w:cs="仿宋"/>
        </w:rPr>
        <w:t>份、副本</w:t>
      </w:r>
      <w:r>
        <w:rPr>
          <w:rFonts w:hint="eastAsia" w:ascii="仿宋" w:hAnsi="仿宋" w:cs="仿宋"/>
        </w:rPr>
        <w:t>2</w:t>
      </w:r>
      <w:r>
        <w:rPr>
          <w:rFonts w:ascii="仿宋" w:hAnsi="仿宋" w:cs="仿宋"/>
        </w:rPr>
        <w:t>份，并提供电子版本（U盘，包括</w:t>
      </w:r>
      <w:r>
        <w:rPr>
          <w:rFonts w:hint="eastAsia" w:ascii="仿宋" w:hAnsi="仿宋" w:cs="仿宋"/>
        </w:rPr>
        <w:t>所有</w:t>
      </w:r>
      <w:r>
        <w:rPr>
          <w:rFonts w:ascii="仿宋" w:hAnsi="仿宋" w:cs="仿宋"/>
        </w:rPr>
        <w:t>投标文件）。投标文件的正本和副本应在其封面右上角清楚地标明“正本”或“副本”字样。若正本和副本有不一致的内容，以正本书面投标文件为准。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投标文件</w:t>
      </w:r>
      <w:r>
        <w:rPr>
          <w:rFonts w:ascii="仿宋" w:hAnsi="仿宋" w:cs="仿宋"/>
        </w:rPr>
        <w:t>电子版本</w:t>
      </w:r>
      <w:r>
        <w:rPr>
          <w:rFonts w:hint="eastAsia" w:ascii="仿宋" w:hAnsi="仿宋" w:cs="仿宋"/>
        </w:rPr>
        <w:t>的内容及格式应与投标文件正本一致，若不一致的，以投标人的纸质投标文件正本作为评标依据。</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提交的电子版中不得含有病毒、宏和其他异常执行程序，不能包含要求外的任何其他文件，或者因非投标人因素造成电子投标文件被计算机系统无法正常读取的，招标人可要求投标人另行提供与纸质投标文件正本内容一致的电子文件。</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2.投标文件的正本和副本均需打印或用不褪色、不变质的墨水书写，并由投标人的法定代表人或其授权代表在规定签</w:t>
      </w:r>
      <w:r>
        <w:rPr>
          <w:rFonts w:hint="eastAsia" w:ascii="仿宋" w:hAnsi="仿宋" w:cs="仿宋"/>
        </w:rPr>
        <w:t>字</w:t>
      </w:r>
      <w:r>
        <w:rPr>
          <w:rFonts w:ascii="仿宋" w:hAnsi="仿宋" w:cs="仿宋"/>
        </w:rPr>
        <w:t>处</w:t>
      </w:r>
      <w:r>
        <w:rPr>
          <w:rFonts w:hint="eastAsia" w:ascii="仿宋" w:hAnsi="仿宋" w:cs="仿宋"/>
        </w:rPr>
        <w:t>进行本人</w:t>
      </w:r>
      <w:r>
        <w:rPr>
          <w:rFonts w:ascii="仿宋" w:hAnsi="仿宋" w:cs="仿宋"/>
        </w:rPr>
        <w:t>签字。投标文件副本可采用正本的复印件。</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3.投标文件的打印和书写应清楚工整，任何行间插字、涂改或增删，必须由投标人的法定代表人或其授权代表</w:t>
      </w:r>
      <w:r>
        <w:rPr>
          <w:rFonts w:hint="eastAsia" w:ascii="仿宋" w:hAnsi="仿宋" w:cs="仿宋"/>
        </w:rPr>
        <w:t>本人</w:t>
      </w:r>
      <w:r>
        <w:rPr>
          <w:rFonts w:ascii="仿宋" w:hAnsi="仿宋" w:cs="仿宋"/>
        </w:rPr>
        <w:t>签字。</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4</w:t>
      </w:r>
      <w:r>
        <w:rPr>
          <w:rFonts w:ascii="仿宋" w:hAnsi="仿宋" w:cs="仿宋"/>
        </w:rPr>
        <w:t>.</w:t>
      </w:r>
      <w:r>
        <w:rPr>
          <w:rFonts w:hint="eastAsia" w:ascii="仿宋" w:hAnsi="仿宋" w:cs="仿宋"/>
        </w:rPr>
        <w:t>投标文件正本中要求</w:t>
      </w:r>
      <w:r>
        <w:rPr>
          <w:rFonts w:ascii="仿宋" w:hAnsi="仿宋" w:cs="仿宋"/>
        </w:rPr>
        <w:t>法定代表人或其授权代表</w:t>
      </w:r>
      <w:r>
        <w:rPr>
          <w:rFonts w:hint="eastAsia" w:ascii="仿宋" w:hAnsi="仿宋" w:cs="仿宋"/>
        </w:rPr>
        <w:t>签字的内容由本人签字。副本可采用正本复印件。</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5.投标文件正本和副本应当采取胶装方式装订成册，不得散装或者合页装订。</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6.投标文件应根据招标文件的要求制作，签署、盖章和内容应完整。</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7.投标文件统一用A4幅面纸印制，</w:t>
      </w:r>
      <w:r>
        <w:rPr>
          <w:rFonts w:hint="eastAsia" w:ascii="仿宋" w:hAnsi="仿宋" w:cs="仿宋"/>
        </w:rPr>
        <w:t>并编制目录</w:t>
      </w:r>
      <w:r>
        <w:rPr>
          <w:rFonts w:ascii="仿宋" w:hAnsi="仿宋" w:cs="仿宋"/>
        </w:rPr>
        <w:t>。</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投标文件的密封和标注</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1.投标人应在投标文件正本和所有副本的封面上注明投标人名称、项目名称。</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2.投标文件包括正本、副本。投标文件应当密封，其中，电子版本单独密封一袋。投标文件可以密封为一袋或多袋，密封袋上应当注明投标人名称、项目名称。</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投标文件的递交</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1.投标人应在招标文件规定的投标截止时间前，将投标文件按招标文件的规定密封后送达开标地点。投标截止时间以后送达的投标文件将不予接收。</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2.本次招标可以接受邮寄的投标文件，但因邮寄导致投标截止时间以后收到的投标文件，投标文件不予接收。</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3.招标人接收投标文件时，未密封不得接收，在开标前不得开启投标文件。</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投标文件的修改和撤回</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1.投标人在递交了投标文件后，可以修改或撤回其投标文件，但必须在规定的投标截止时间前，以书面形式通知采购人。</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2.投标人的修改书或撤回通知书，应由其法定代表人或授权代表签署并盖单位印章。修改书应按</w:t>
      </w:r>
      <w:r>
        <w:rPr>
          <w:rFonts w:hint="eastAsia" w:ascii="仿宋" w:hAnsi="仿宋" w:cs="仿宋"/>
        </w:rPr>
        <w:t>本招标文件中的</w:t>
      </w:r>
      <w:r>
        <w:rPr>
          <w:rFonts w:ascii="仿宋" w:hAnsi="仿宋" w:cs="仿宋"/>
        </w:rPr>
        <w:t>规定进行密封和标注，并在密封袋上标注“修改”字样。</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3.在投标截止时间之后，投标人不得对其递交的投标文件做任何修改，不得撤回投标。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备选投标方案</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不允许。</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开标</w:t>
      </w:r>
      <w:r>
        <w:rPr>
          <w:rFonts w:hint="eastAsia" w:ascii="Times New Roman" w:hAnsi="Times New Roman" w:eastAsia="黑体" w:cs="Times New Roman"/>
          <w:b/>
          <w:bCs/>
          <w:sz w:val="28"/>
          <w:szCs w:val="32"/>
        </w:rPr>
        <w:t>和中标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开标</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本项目不进行公开开标报价</w:t>
      </w:r>
      <w:r>
        <w:rPr>
          <w:rFonts w:hint="eastAsia" w:ascii="仿宋" w:hAnsi="仿宋" w:cs="仿宋"/>
        </w:rPr>
        <w:t>。</w:t>
      </w:r>
      <w:r>
        <w:rPr>
          <w:rFonts w:ascii="仿宋" w:hAnsi="仿宋" w:cs="仿宋"/>
        </w:rPr>
        <w:t>投标截止日到达后，提交投标文件的投标人少于三个的，招标人重新组织招标。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开标程序</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1.开标会议由</w:t>
      </w:r>
      <w:r>
        <w:rPr>
          <w:rFonts w:hint="eastAsia" w:ascii="仿宋" w:hAnsi="仿宋" w:cs="仿宋"/>
        </w:rPr>
        <w:t>中国机械总院</w:t>
      </w:r>
      <w:r>
        <w:rPr>
          <w:rFonts w:ascii="仿宋" w:hAnsi="仿宋" w:cs="仿宋"/>
        </w:rPr>
        <w:t>组织并主持。</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1）投标人的法定代表人或者其授权代表参加会议，应携带本人身份证原件。</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w:t>
      </w:r>
      <w:r>
        <w:rPr>
          <w:rFonts w:ascii="仿宋" w:hAnsi="仿宋" w:cs="仿宋"/>
        </w:rPr>
        <w:t>）由投标人检查投标文件的密封情况，并由各投标人确认签字。</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2.投标文件有下列情况之一者将视为无效：</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1）投标文件未按规定密封的；</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2）投标截止时间以后送达的投标文件；</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（3）其他应视为无效的情形。</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评标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评标委员会</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1.评标由招标人依法组建的评标委员会负责。评标委员会由招标人熟悉相关业务的代表，以及有关技术、经济等方面的专家组成。评标委员会成员人数以及技术、经济等方面专家的确定方式见评标办法。</w:t>
      </w:r>
      <w:r>
        <w:rPr>
          <w:rFonts w:hint="eastAsia" w:ascii="仿宋" w:hAnsi="仿宋" w:cs="仿宋"/>
        </w:rPr>
        <w:t>有下述情形的，不能作为评标组成员。</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1）与投标人的法定代表人或者负责人有夫妻、直系血亲、三代以内旁系血亲或者近姻亲关系；</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2）与投标人有其他可能影响本次采购活动公平、公正进行的关系；</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w:t>
      </w:r>
      <w:r>
        <w:rPr>
          <w:rFonts w:ascii="仿宋" w:hAnsi="仿宋" w:cs="仿宋"/>
        </w:rPr>
        <w:t>3）曾因在招标、评标以及其他与招标投标有关活动中从事违法行为而受过行政处罚或刑事处罚的。</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评标原则</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评标活动遵循公平、公正、科学和择优的原则。</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评标</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评标委员会按照第三章“评标办法”规定的方法、评审因素、标准和程序对投标文件进行评审。第三章“评标办法”没有规定的方法、评审因素和标准，不作为评标依据。</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合同授予</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定标方式</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招标人依据评标委员会推荐的中标候选人确定中标人，评标委员会推荐中标候选人的人数见评标办法。</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中标通知</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1.中标通知书为签订项目采购合同的依据之一，是合同的有效组成部分。</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2.中标通知书对采购人和中标人均具有法律效力。中标通知书发出后，采购人改变中标结果，或者中标人无正当理由放弃中标的，应当承担相应的法律责任。</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签订合同</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招标人和中标人应当自中标通知书发出之日起30日内，按照招标文件和中标人的投标文件订立书面合同。招标人和中标人不得再行订立背离合同实质性内容的其他协议。</w:t>
      </w:r>
      <w:r>
        <w:rPr>
          <w:rFonts w:hint="eastAsia" w:ascii="仿宋" w:hAnsi="仿宋" w:cs="仿宋"/>
        </w:rPr>
        <w:t>中标人无正当理由拒签合同的，招标人取消其中标资格。</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重新招标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重新招标</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见第三章评标办法十、重新招标。</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纪律和监督</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对招标人的纪律要求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招标人不得泄露招标投标活动中应当保密的情况和资料，不得与投标人串通损害国家利益、社会公共利益或者他人合法权益。</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对投标人的纪律要求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对评标委员会成员的纪律要求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对与评标活动有关的工作人员的纪律要求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keepLines/>
        <w:numPr>
          <w:ilvl w:val="3"/>
          <w:numId w:val="1"/>
        </w:numPr>
        <w:tabs>
          <w:tab w:val="left" w:pos="630"/>
        </w:tabs>
        <w:adjustRightInd w:val="0"/>
        <w:snapToGrid w:val="0"/>
        <w:spacing w:before="0" w:line="560" w:lineRule="exact"/>
        <w:jc w:val="left"/>
        <w:outlineLvl w:val="5"/>
        <w:rPr>
          <w:rFonts w:ascii="Times New Roman" w:hAnsi="Times New Roman" w:eastAsia="黑体" w:cs="Times New Roman"/>
          <w:b/>
          <w:bCs/>
          <w:szCs w:val="28"/>
        </w:rPr>
      </w:pPr>
      <w:r>
        <w:rPr>
          <w:rFonts w:ascii="Times New Roman" w:hAnsi="Times New Roman" w:eastAsia="黑体" w:cs="Times New Roman"/>
          <w:b/>
          <w:bCs/>
          <w:szCs w:val="28"/>
        </w:rPr>
        <w:t>投诉</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投标人和其他利害关系人认为本次招标活动违反法律法规和规章规定的，有权向有关监督部门投诉。</w:t>
      </w:r>
    </w:p>
    <w:p>
      <w:pPr>
        <w:keepNext/>
        <w:keepLines/>
        <w:numPr>
          <w:ilvl w:val="2"/>
          <w:numId w:val="1"/>
        </w:numPr>
        <w:tabs>
          <w:tab w:val="left" w:pos="420"/>
        </w:tabs>
        <w:adjustRightInd w:val="0"/>
        <w:snapToGrid w:val="0"/>
        <w:spacing w:before="0" w:line="560" w:lineRule="exact"/>
        <w:jc w:val="left"/>
        <w:outlineLvl w:val="4"/>
        <w:rPr>
          <w:rFonts w:ascii="Times New Roman" w:hAnsi="Times New Roman" w:eastAsia="黑体" w:cs="Times New Roman"/>
          <w:b/>
          <w:bCs/>
          <w:sz w:val="28"/>
          <w:szCs w:val="32"/>
        </w:rPr>
      </w:pPr>
      <w:r>
        <w:rPr>
          <w:rFonts w:ascii="Times New Roman" w:hAnsi="Times New Roman" w:eastAsia="黑体" w:cs="Times New Roman"/>
          <w:b/>
          <w:bCs/>
          <w:sz w:val="28"/>
          <w:szCs w:val="32"/>
        </w:rPr>
        <w:t>需要补充的其他内容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本项目专家评审费由中标人支付。请投标人考虑此部分费用。专家评审费按实计收。</w:t>
      </w:r>
    </w:p>
    <w:p>
      <w:pPr>
        <w:adjustRightInd w:val="0"/>
        <w:snapToGrid w:val="0"/>
        <w:spacing w:before="0" w:line="560" w:lineRule="exact"/>
        <w:jc w:val="left"/>
        <w:rPr>
          <w:rFonts w:hint="eastAsia" w:ascii="仿宋" w:hAnsi="仿宋" w:cs="仿宋"/>
        </w:rPr>
      </w:pPr>
      <w:r>
        <w:rPr>
          <w:rFonts w:ascii="仿宋" w:hAnsi="仿宋" w:cs="仿宋"/>
        </w:rPr>
        <w:br w:type="page"/>
      </w:r>
    </w:p>
    <w:p>
      <w:pPr>
        <w:pStyle w:val="2"/>
        <w:numPr>
          <w:ilvl w:val="0"/>
          <w:numId w:val="1"/>
        </w:numPr>
        <w:adjustRightInd w:val="0"/>
        <w:snapToGrid w:val="0"/>
        <w:spacing w:before="0" w:beforeLines="0" w:line="560" w:lineRule="exact"/>
        <w:jc w:val="center"/>
        <w:rPr>
          <w:rFonts w:hint="eastAsia" w:ascii="等线" w:hAnsi="等线" w:cs="Times New Roman"/>
        </w:rPr>
      </w:pPr>
      <w:r>
        <w:rPr>
          <w:rFonts w:hint="eastAsia" w:ascii="等线" w:hAnsi="等线" w:cs="Times New Roman"/>
        </w:rPr>
        <w:t xml:space="preserve"> </w:t>
      </w:r>
      <w:bookmarkStart w:id="9" w:name="_Toc29090"/>
      <w:bookmarkStart w:id="10" w:name="_Toc19279"/>
      <w:bookmarkStart w:id="11" w:name="_Toc172229632"/>
      <w:bookmarkStart w:id="12" w:name="_Toc12675"/>
      <w:bookmarkStart w:id="13" w:name="_Toc100301589"/>
      <w:bookmarkStart w:id="14" w:name="_Toc18501"/>
      <w:r>
        <w:rPr>
          <w:rFonts w:hint="eastAsia" w:ascii="等线" w:hAnsi="等线" w:cs="Times New Roman"/>
        </w:rPr>
        <w:t>评标办法</w:t>
      </w:r>
      <w:bookmarkEnd w:id="9"/>
      <w:bookmarkEnd w:id="10"/>
      <w:bookmarkEnd w:id="11"/>
      <w:bookmarkEnd w:id="12"/>
      <w:bookmarkEnd w:id="13"/>
      <w:bookmarkEnd w:id="14"/>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一、评标依据</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评标的依据是招标文件及其补充通知、投标人的投标文件及其澄清文件以及本评标办法。</w:t>
      </w:r>
    </w:p>
    <w:p>
      <w:pPr>
        <w:numPr>
          <w:ilvl w:val="0"/>
          <w:numId w:val="6"/>
        </w:num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评标委员会的组成</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按照《中华人民共和国招标投标法》、国家发改委等九部委23号令《评标委员会和评标方法暂行规定（2013修正）》等的规定，招标人依法组建评标委员会。本项目评标委员会由5人及以上单数组成，其中技术、经济专家不少于总数的三分之二。评委会根据本办法对各投标人的投标文件进行评审。评标委员会负责出具评标报告和推荐中标候选人等工作。招标人根据评标委员会提出的书面报告和推荐的中标候选人顺序确定中标人。</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三、评标人员应遵守的原则和纪律</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1.评标原则</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（1）</w:t>
      </w:r>
      <w:r>
        <w:rPr>
          <w:rFonts w:ascii="仿宋" w:hAnsi="仿宋" w:cs="仿宋"/>
        </w:rPr>
        <w:t>评标遵循公平、公正、科学、择优的原则。</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w:t>
      </w:r>
      <w:r>
        <w:rPr>
          <w:rFonts w:ascii="仿宋" w:hAnsi="仿宋" w:cs="仿宋"/>
        </w:rPr>
        <w:t>对所有投标人的投标评估，都采用相同的程序和标准。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w:t>
      </w:r>
      <w:r>
        <w:rPr>
          <w:rFonts w:ascii="仿宋" w:hAnsi="仿宋" w:cs="仿宋"/>
        </w:rPr>
        <w:t>评标严格按照招标文件的要求和评标标准及办法进行。</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（4）</w:t>
      </w:r>
      <w:r>
        <w:rPr>
          <w:rFonts w:ascii="仿宋" w:hAnsi="仿宋" w:cs="仿宋"/>
        </w:rPr>
        <w:t>根据招标文件规定的各项评价标准通过评审推荐中标候选人排名。</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（5）</w:t>
      </w:r>
      <w:r>
        <w:rPr>
          <w:rFonts w:ascii="仿宋" w:hAnsi="仿宋" w:cs="仿宋"/>
        </w:rPr>
        <w:t>评标委员会判断投标文件的响应性仅基于投标文件本身而不靠外部证据。</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（6）</w:t>
      </w:r>
      <w:r>
        <w:rPr>
          <w:rFonts w:ascii="仿宋" w:hAnsi="仿宋" w:cs="仿宋"/>
        </w:rPr>
        <w:t>评标委员会拒绝被确定为非实质性响应的投标，投标人不能通过修正或撤销不符之处而使其投标成为实质性响应的投标。</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2.评标纪律</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（1）</w:t>
      </w:r>
      <w:r>
        <w:rPr>
          <w:rFonts w:ascii="仿宋" w:hAnsi="仿宋" w:cs="仿宋"/>
        </w:rPr>
        <w:t>评标委员会成员应当客观、公正地履行职责，遵守职业道德，对所提出的评审意见承担个人责任；</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w:t>
      </w:r>
      <w:r>
        <w:rPr>
          <w:rFonts w:ascii="仿宋" w:hAnsi="仿宋" w:cs="仿宋"/>
        </w:rPr>
        <w:t>评标委员会成员和与评标活动有关的工作人员不得向任何投标人或与评标工作无关的人员透露与评标有关的任何情况</w:t>
      </w:r>
      <w:r>
        <w:rPr>
          <w:rFonts w:hint="eastAsia" w:ascii="仿宋" w:hAnsi="仿宋" w:cs="仿宋"/>
        </w:rPr>
        <w:t>。</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四、评标方法</w:t>
      </w:r>
    </w:p>
    <w:p>
      <w:pPr>
        <w:adjustRightInd w:val="0"/>
        <w:snapToGrid w:val="0"/>
        <w:spacing w:before="0" w:line="560" w:lineRule="exact"/>
        <w:ind w:firstLine="480" w:firstLineChars="200"/>
        <w:jc w:val="left"/>
        <w:rPr>
          <w:rFonts w:hint="eastAsia" w:ascii="仿宋" w:hAnsi="仿宋" w:cs="仿宋"/>
          <w:highlight w:val="yellow"/>
        </w:rPr>
      </w:pPr>
      <w:r>
        <w:rPr>
          <w:rFonts w:hint="eastAsia" w:ascii="仿宋" w:hAnsi="仿宋" w:cs="仿宋"/>
          <w:lang w:eastAsia="zh-TW"/>
        </w:rPr>
        <w:t>本次评标采用“综合评分法”。首先由各评委分别对实质上响应招标文件的投标的商务部分、技术部分、报价部分进行逐项打分，对评标委员会各成员每一因素的打分汇总后取算术平均分。评标委员会根据商务部分、技术部分、报价文件综合评审按排名先后推荐中标候选人。认为有效投标均不符合招标文件要求/明显缺乏竞争力时/投标报价存在明显不合理时，应当否决全部投标</w:t>
      </w:r>
      <w:r>
        <w:rPr>
          <w:rFonts w:hint="eastAsia" w:ascii="仿宋" w:hAnsi="仿宋" w:cs="仿宋"/>
        </w:rPr>
        <w:t>。</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五、评标程序</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1.宣布评标纪律，明确评标工作计划；</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2.由招标人介绍本项目招标概况</w:t>
      </w:r>
      <w:r>
        <w:rPr>
          <w:rFonts w:hint="eastAsia" w:ascii="仿宋" w:hAnsi="仿宋" w:cs="仿宋"/>
        </w:rPr>
        <w:t>；</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w:t>
      </w:r>
      <w:r>
        <w:rPr>
          <w:rFonts w:ascii="仿宋" w:hAnsi="仿宋" w:cs="仿宋"/>
        </w:rPr>
        <w:t>.按照招标文件的评标办法，</w:t>
      </w:r>
      <w:r>
        <w:rPr>
          <w:rFonts w:hint="eastAsia" w:ascii="仿宋" w:hAnsi="仿宋" w:cs="仿宋"/>
        </w:rPr>
        <w:t>对投标文件进行初步审查。评标委员会初步评审，将投标人的投标界定为废标后，因有效投标不足三家，评标委员会可继续进行详细评审。经详细评审，评标委员会认为投标明显缺乏竞争的，评标委员会可以否决所有投标，招标人应当依法重新招标。</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4</w:t>
      </w:r>
      <w:r>
        <w:rPr>
          <w:rFonts w:ascii="仿宋" w:hAnsi="仿宋" w:cs="仿宋"/>
        </w:rPr>
        <w:t>.详细评审</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按照本评分细则，各评委独立详细对技术标、商务标、报价评审打分。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5</w:t>
      </w:r>
      <w:r>
        <w:rPr>
          <w:rFonts w:ascii="仿宋" w:hAnsi="仿宋" w:cs="仿宋"/>
        </w:rPr>
        <w:t>.汇总评审结果，编写评标报告。推荐中标候选人。</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六、初步评审</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1.初步评审，是指评标委员会根据招标项目的招标文件和《</w:t>
      </w:r>
      <w:r>
        <w:rPr>
          <w:rFonts w:hint="eastAsia" w:ascii="仿宋" w:hAnsi="仿宋" w:cs="仿宋"/>
        </w:rPr>
        <w:t>中华人民共和国招标投标法</w:t>
      </w:r>
      <w:r>
        <w:rPr>
          <w:rFonts w:ascii="仿宋" w:hAnsi="仿宋" w:cs="仿宋"/>
        </w:rPr>
        <w:t>》等相应法律法规的规定，对投标人的投标文件符合性</w:t>
      </w:r>
      <w:r>
        <w:rPr>
          <w:rFonts w:hint="eastAsia" w:ascii="仿宋" w:hAnsi="仿宋" w:cs="仿宋"/>
        </w:rPr>
        <w:t>进行</w:t>
      </w:r>
      <w:r>
        <w:rPr>
          <w:rFonts w:ascii="仿宋" w:hAnsi="仿宋" w:cs="仿宋"/>
        </w:rPr>
        <w:t>鉴定。</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w:t>
      </w:r>
      <w:r>
        <w:rPr>
          <w:rFonts w:ascii="仿宋" w:hAnsi="仿宋" w:cs="仿宋"/>
        </w:rPr>
        <w:t>.</w:t>
      </w:r>
      <w:r>
        <w:rPr>
          <w:rFonts w:hint="eastAsia" w:ascii="仿宋" w:hAnsi="仿宋" w:cs="仿宋"/>
        </w:rPr>
        <w:t>投标文件正本中未按招标文件中第二章要求进行签署的</w:t>
      </w:r>
      <w:r>
        <w:rPr>
          <w:rFonts w:ascii="仿宋" w:hAnsi="仿宋" w:cs="仿宋"/>
        </w:rPr>
        <w:t>做废标处理</w:t>
      </w:r>
      <w:r>
        <w:rPr>
          <w:rFonts w:hint="eastAsia" w:ascii="仿宋" w:hAnsi="仿宋" w:cs="仿宋"/>
        </w:rPr>
        <w:t>。</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3</w:t>
      </w:r>
      <w:r>
        <w:rPr>
          <w:rFonts w:ascii="仿宋" w:hAnsi="仿宋" w:cs="仿宋"/>
        </w:rPr>
        <w:t>.经评标委员会对所有投标人的投标文件初步评审后，</w:t>
      </w:r>
      <w:r>
        <w:rPr>
          <w:rFonts w:hint="eastAsia" w:ascii="仿宋" w:hAnsi="仿宋" w:cs="仿宋"/>
        </w:rPr>
        <w:t>初步评审未通过的</w:t>
      </w:r>
      <w:r>
        <w:rPr>
          <w:rFonts w:ascii="仿宋" w:hAnsi="仿宋" w:cs="仿宋"/>
        </w:rPr>
        <w:t>做废标处理。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4</w:t>
      </w:r>
      <w:r>
        <w:rPr>
          <w:rFonts w:ascii="仿宋" w:hAnsi="仿宋" w:cs="仿宋"/>
        </w:rPr>
        <w:t>.在评标过程中，评标委员会发现投标人以他人的名义投标、串通投标、以行贿手段谋取中标或者以其他弄虚作假方式投标的，该投标人的投标应作废标处理。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5</w:t>
      </w:r>
      <w:r>
        <w:rPr>
          <w:rFonts w:ascii="仿宋" w:hAnsi="仿宋" w:cs="仿宋"/>
        </w:rPr>
        <w:t>.投标人的投标文件不符合招标文件要求的，或者拒不按照要求对投标文件进行澄清、说明或者补正的，评标委员会可以否决其投标，按废标处理。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6</w:t>
      </w:r>
      <w:r>
        <w:rPr>
          <w:rFonts w:ascii="仿宋" w:hAnsi="仿宋" w:cs="仿宋"/>
        </w:rPr>
        <w:t>.在评标过程中，评标委员会可以书面形式要求投标人对投标文件中含义不明确、不清、对同类问题表述不一致或有明显文字和算术计算错误的内容作必要的澄清、说明或补正。必要时，为有助于投标文件的审查、评价和比较，召开澄清质询会，在澄清质询会上对投标人进行质询，先以口头形式询问并解答，随后在规定的时间内投标人以书面形式予以确认做出正式答复，澄清和确认的问题须经法定代表人或授权代理人签字，澄清问题的答复作为投标文件的组成部分。但澄清、说明或补正的问题不应寻求、提出或允许更改投标价格或投标文件的实质性内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7</w:t>
      </w:r>
      <w:r>
        <w:rPr>
          <w:rFonts w:ascii="仿宋" w:hAnsi="仿宋" w:cs="仿宋"/>
        </w:rPr>
        <w:t>.评标委员会对</w:t>
      </w:r>
      <w:r>
        <w:rPr>
          <w:rFonts w:hint="eastAsia" w:ascii="仿宋" w:hAnsi="仿宋" w:cs="仿宋"/>
        </w:rPr>
        <w:t>需</w:t>
      </w:r>
      <w:r>
        <w:rPr>
          <w:rFonts w:ascii="仿宋" w:hAnsi="仿宋" w:cs="仿宋"/>
        </w:rPr>
        <w:t>澄清、说明或者补正的</w:t>
      </w:r>
      <w:r>
        <w:rPr>
          <w:rFonts w:hint="eastAsia" w:ascii="仿宋" w:hAnsi="仿宋" w:cs="仿宋"/>
        </w:rPr>
        <w:t>投标文件，需</w:t>
      </w:r>
      <w:r>
        <w:rPr>
          <w:rFonts w:ascii="仿宋" w:hAnsi="仿宋" w:cs="仿宋"/>
        </w:rPr>
        <w:t>做出详细书面记录。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初步审查记录表</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招标项目名称：</w:t>
      </w:r>
    </w:p>
    <w:tbl>
      <w:tblPr>
        <w:tblStyle w:val="9"/>
        <w:tblW w:w="4999" w:type="pct"/>
        <w:jc w:val="center"/>
        <w:tblLayout w:type="autofit"/>
        <w:tblCellMar>
          <w:top w:w="0" w:type="dxa"/>
          <w:left w:w="108" w:type="dxa"/>
          <w:bottom w:w="0" w:type="dxa"/>
          <w:right w:w="108" w:type="dxa"/>
        </w:tblCellMar>
      </w:tblPr>
      <w:tblGrid>
        <w:gridCol w:w="762"/>
        <w:gridCol w:w="2006"/>
        <w:gridCol w:w="5752"/>
      </w:tblGrid>
      <w:tr>
        <w:tblPrEx>
          <w:tblCellMar>
            <w:top w:w="0" w:type="dxa"/>
            <w:left w:w="108" w:type="dxa"/>
            <w:bottom w:w="0" w:type="dxa"/>
            <w:right w:w="108" w:type="dxa"/>
          </w:tblCellMar>
        </w:tblPrEx>
        <w:trPr>
          <w:trHeight w:val="480" w:hRule="atLeast"/>
          <w:jc w:val="center"/>
        </w:trPr>
        <w:tc>
          <w:tcPr>
            <w:tcW w:w="44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序号</w:t>
            </w:r>
          </w:p>
        </w:tc>
        <w:tc>
          <w:tcPr>
            <w:tcW w:w="1177" w:type="pct"/>
            <w:tcBorders>
              <w:top w:val="single" w:color="auto" w:sz="4" w:space="0"/>
              <w:left w:val="nil"/>
              <w:bottom w:val="single" w:color="auto" w:sz="4" w:space="0"/>
              <w:right w:val="single" w:color="auto" w:sz="4" w:space="0"/>
            </w:tcBorders>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评审因素</w:t>
            </w:r>
          </w:p>
        </w:tc>
        <w:tc>
          <w:tcPr>
            <w:tcW w:w="3375" w:type="pct"/>
            <w:tcBorders>
              <w:top w:val="single" w:color="auto" w:sz="4" w:space="0"/>
              <w:left w:val="nil"/>
              <w:bottom w:val="single" w:color="auto" w:sz="4" w:space="0"/>
              <w:right w:val="single" w:color="auto" w:sz="4" w:space="0"/>
            </w:tcBorders>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评审标准</w:t>
            </w:r>
          </w:p>
        </w:tc>
      </w:tr>
      <w:tr>
        <w:tblPrEx>
          <w:tblCellMar>
            <w:top w:w="0" w:type="dxa"/>
            <w:left w:w="108" w:type="dxa"/>
            <w:bottom w:w="0" w:type="dxa"/>
            <w:right w:w="108" w:type="dxa"/>
          </w:tblCellMar>
        </w:tblPrEx>
        <w:trPr>
          <w:trHeight w:val="432" w:hRule="atLeast"/>
          <w:jc w:val="center"/>
        </w:trPr>
        <w:tc>
          <w:tcPr>
            <w:tcW w:w="447" w:type="pct"/>
            <w:tcBorders>
              <w:top w:val="nil"/>
              <w:left w:val="single" w:color="auto" w:sz="4" w:space="0"/>
              <w:bottom w:val="single" w:color="auto" w:sz="4" w:space="0"/>
              <w:right w:val="single" w:color="auto" w:sz="4" w:space="0"/>
            </w:tcBorders>
            <w:noWrap/>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1</w:t>
            </w:r>
          </w:p>
        </w:tc>
        <w:tc>
          <w:tcPr>
            <w:tcW w:w="1177"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投标人名称</w:t>
            </w:r>
            <w:r>
              <w:rPr>
                <w:rFonts w:hint="eastAsia" w:ascii="仿宋" w:hAnsi="仿宋" w:cs="仿宋"/>
                <w:color w:val="000000"/>
                <w:lang w:bidi="ar"/>
              </w:rPr>
              <w:t xml:space="preserve"> </w:t>
            </w:r>
          </w:p>
        </w:tc>
        <w:tc>
          <w:tcPr>
            <w:tcW w:w="3375"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与营业执照一致</w:t>
            </w:r>
            <w:r>
              <w:rPr>
                <w:rFonts w:hint="eastAsia" w:ascii="仿宋" w:hAnsi="仿宋" w:cs="仿宋"/>
                <w:color w:val="000000"/>
                <w:lang w:bidi="ar"/>
              </w:rPr>
              <w:t xml:space="preserve"> 。</w:t>
            </w:r>
          </w:p>
        </w:tc>
      </w:tr>
      <w:tr>
        <w:tblPrEx>
          <w:tblCellMar>
            <w:top w:w="0" w:type="dxa"/>
            <w:left w:w="108" w:type="dxa"/>
            <w:bottom w:w="0" w:type="dxa"/>
            <w:right w:w="108" w:type="dxa"/>
          </w:tblCellMar>
        </w:tblPrEx>
        <w:trPr>
          <w:trHeight w:val="90" w:hRule="atLeast"/>
          <w:jc w:val="center"/>
        </w:trPr>
        <w:tc>
          <w:tcPr>
            <w:tcW w:w="447" w:type="pct"/>
            <w:tcBorders>
              <w:top w:val="nil"/>
              <w:left w:val="single" w:color="auto" w:sz="4" w:space="0"/>
              <w:bottom w:val="single" w:color="auto" w:sz="4" w:space="0"/>
              <w:right w:val="single" w:color="auto" w:sz="4" w:space="0"/>
            </w:tcBorders>
            <w:noWrap/>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2</w:t>
            </w:r>
          </w:p>
        </w:tc>
        <w:tc>
          <w:tcPr>
            <w:tcW w:w="1177"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投标函签字盖章</w:t>
            </w:r>
            <w:r>
              <w:rPr>
                <w:rFonts w:hint="eastAsia" w:ascii="仿宋" w:hAnsi="仿宋" w:cs="仿宋"/>
                <w:color w:val="000000"/>
                <w:lang w:bidi="ar"/>
              </w:rPr>
              <w:t xml:space="preserve"> </w:t>
            </w:r>
          </w:p>
        </w:tc>
        <w:tc>
          <w:tcPr>
            <w:tcW w:w="3375"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有法定代表人（单位负责人）或其委托代理人签字或加盖单位章。由法定代表人（单位负责人）签字的，应附法定代表人（单位负责人）身份证明，由代理人签字的，应附授权委托书。</w:t>
            </w:r>
          </w:p>
        </w:tc>
      </w:tr>
      <w:tr>
        <w:tblPrEx>
          <w:tblCellMar>
            <w:top w:w="0" w:type="dxa"/>
            <w:left w:w="108" w:type="dxa"/>
            <w:bottom w:w="0" w:type="dxa"/>
            <w:right w:w="108" w:type="dxa"/>
          </w:tblCellMar>
        </w:tblPrEx>
        <w:trPr>
          <w:trHeight w:val="384" w:hRule="atLeast"/>
          <w:jc w:val="center"/>
        </w:trPr>
        <w:tc>
          <w:tcPr>
            <w:tcW w:w="447" w:type="pct"/>
            <w:tcBorders>
              <w:top w:val="nil"/>
              <w:left w:val="single" w:color="auto" w:sz="4" w:space="0"/>
              <w:bottom w:val="single" w:color="auto" w:sz="4" w:space="0"/>
              <w:right w:val="single" w:color="auto" w:sz="4" w:space="0"/>
            </w:tcBorders>
            <w:noWrap/>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3</w:t>
            </w:r>
          </w:p>
        </w:tc>
        <w:tc>
          <w:tcPr>
            <w:tcW w:w="1177"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投标文件格式</w:t>
            </w:r>
            <w:r>
              <w:rPr>
                <w:rFonts w:hint="eastAsia" w:ascii="仿宋" w:hAnsi="仿宋" w:cs="仿宋"/>
                <w:color w:val="000000"/>
                <w:lang w:bidi="ar"/>
              </w:rPr>
              <w:t xml:space="preserve"> </w:t>
            </w:r>
          </w:p>
        </w:tc>
        <w:tc>
          <w:tcPr>
            <w:tcW w:w="3375"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kern w:val="0"/>
                <w:lang w:bidi="ar"/>
              </w:rPr>
              <w:t>符合招标文件中</w:t>
            </w:r>
            <w:r>
              <w:rPr>
                <w:rFonts w:hint="eastAsia" w:ascii="仿宋" w:hAnsi="仿宋" w:cs="仿宋"/>
                <w:color w:val="000000"/>
                <w:lang w:bidi="ar"/>
              </w:rPr>
              <w:t>“</w:t>
            </w:r>
            <w:r>
              <w:rPr>
                <w:rFonts w:ascii="仿宋" w:hAnsi="仿宋" w:cs="仿宋"/>
                <w:color w:val="000000"/>
                <w:lang w:bidi="ar"/>
              </w:rPr>
              <w:t>投标文件格式</w:t>
            </w:r>
            <w:r>
              <w:rPr>
                <w:rFonts w:hint="eastAsia" w:ascii="仿宋" w:hAnsi="仿宋" w:cs="仿宋"/>
                <w:color w:val="000000"/>
                <w:lang w:bidi="ar"/>
              </w:rPr>
              <w:t>”</w:t>
            </w:r>
            <w:r>
              <w:rPr>
                <w:rFonts w:ascii="仿宋" w:hAnsi="仿宋" w:cs="仿宋"/>
                <w:color w:val="000000"/>
                <w:lang w:bidi="ar"/>
              </w:rPr>
              <w:t>的规定</w:t>
            </w:r>
            <w:r>
              <w:rPr>
                <w:rFonts w:hint="eastAsia" w:ascii="仿宋" w:hAnsi="仿宋" w:cs="仿宋"/>
                <w:color w:val="000000"/>
                <w:lang w:bidi="ar"/>
              </w:rPr>
              <w:t xml:space="preserve">。 </w:t>
            </w:r>
          </w:p>
        </w:tc>
      </w:tr>
      <w:tr>
        <w:tblPrEx>
          <w:tblCellMar>
            <w:top w:w="0" w:type="dxa"/>
            <w:left w:w="108" w:type="dxa"/>
            <w:bottom w:w="0" w:type="dxa"/>
            <w:right w:w="108" w:type="dxa"/>
          </w:tblCellMar>
        </w:tblPrEx>
        <w:trPr>
          <w:trHeight w:val="576" w:hRule="atLeast"/>
          <w:jc w:val="center"/>
        </w:trPr>
        <w:tc>
          <w:tcPr>
            <w:tcW w:w="447" w:type="pct"/>
            <w:tcBorders>
              <w:top w:val="nil"/>
              <w:left w:val="single" w:color="auto" w:sz="4" w:space="0"/>
              <w:bottom w:val="single" w:color="auto" w:sz="4" w:space="0"/>
              <w:right w:val="single" w:color="auto" w:sz="4" w:space="0"/>
            </w:tcBorders>
            <w:noWrap/>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lang w:bidi="ar"/>
              </w:rPr>
              <w:t>4</w:t>
            </w:r>
          </w:p>
        </w:tc>
        <w:tc>
          <w:tcPr>
            <w:tcW w:w="1177"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备选投标方案</w:t>
            </w:r>
            <w:r>
              <w:rPr>
                <w:rFonts w:hint="eastAsia" w:ascii="仿宋" w:hAnsi="仿宋" w:cs="仿宋"/>
                <w:color w:val="000000"/>
                <w:lang w:bidi="ar"/>
              </w:rPr>
              <w:t xml:space="preserve"> </w:t>
            </w:r>
          </w:p>
        </w:tc>
        <w:tc>
          <w:tcPr>
            <w:tcW w:w="3375" w:type="pct"/>
            <w:tcBorders>
              <w:top w:val="nil"/>
              <w:left w:val="nil"/>
              <w:bottom w:val="single" w:color="auto" w:sz="4" w:space="0"/>
              <w:right w:val="single" w:color="auto" w:sz="4" w:space="0"/>
            </w:tcBorders>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lang w:bidi="ar"/>
              </w:rPr>
              <w:t>除招标文件明确允许提交备选投标方案外，投标人不得提交备选投标方案。</w:t>
            </w:r>
            <w:r>
              <w:rPr>
                <w:rFonts w:hint="eastAsia" w:ascii="仿宋" w:hAnsi="仿宋" w:cs="仿宋"/>
                <w:color w:val="000000"/>
                <w:lang w:bidi="ar"/>
              </w:rPr>
              <w:t xml:space="preserve"> </w:t>
            </w:r>
          </w:p>
        </w:tc>
      </w:tr>
    </w:tbl>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七、详细评审细则</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初步评审通过的投标进入详细评审。由评委按顺序依次按商务部分、技术部分、投标价格等3个部分各自打分，分项计分。商务部分占</w:t>
      </w:r>
      <w:r>
        <w:rPr>
          <w:rFonts w:hint="eastAsia" w:ascii="仿宋" w:hAnsi="仿宋" w:cs="仿宋"/>
          <w:lang w:eastAsia="zh"/>
        </w:rPr>
        <w:t>30</w:t>
      </w:r>
      <w:r>
        <w:rPr>
          <w:rFonts w:hint="eastAsia" w:ascii="仿宋" w:hAnsi="仿宋" w:cs="仿宋"/>
        </w:rPr>
        <w:t>%，技术部分占</w:t>
      </w:r>
      <w:r>
        <w:rPr>
          <w:rFonts w:hint="eastAsia" w:ascii="仿宋" w:hAnsi="仿宋" w:cs="仿宋"/>
          <w:lang w:eastAsia="zh"/>
        </w:rPr>
        <w:t>45</w:t>
      </w:r>
      <w:r>
        <w:rPr>
          <w:rFonts w:hint="eastAsia" w:ascii="仿宋" w:hAnsi="仿宋" w:cs="仿宋"/>
        </w:rPr>
        <w:t>%，投标价格因素占</w:t>
      </w:r>
      <w:r>
        <w:rPr>
          <w:rFonts w:hint="eastAsia" w:ascii="仿宋" w:hAnsi="仿宋" w:cs="仿宋"/>
          <w:lang w:eastAsia="zh"/>
        </w:rPr>
        <w:t>25</w:t>
      </w:r>
      <w:r>
        <w:rPr>
          <w:rFonts w:hint="eastAsia" w:ascii="仿宋" w:hAnsi="仿宋" w:cs="仿宋"/>
        </w:rPr>
        <w:t>%。</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在投标报价评审前，评标委员会发现投标人的报价超过预算价，或明显低于其他投标报价，使得其投标报价可能低于其个别成本的，应当要求该投标人做出书面说明并提供相关证明材料。投标人不能合理说明或者不能提供相关证明材料的，由评标委员会认定该投标人以低于成本报价竞标，其投标应作废标处理。</w:t>
      </w:r>
    </w:p>
    <w:tbl>
      <w:tblPr>
        <w:tblStyle w:val="9"/>
        <w:tblW w:w="5004" w:type="pct"/>
        <w:tblInd w:w="0" w:type="dxa"/>
        <w:tblLayout w:type="autofit"/>
        <w:tblCellMar>
          <w:top w:w="0" w:type="dxa"/>
          <w:left w:w="0" w:type="dxa"/>
          <w:bottom w:w="0" w:type="dxa"/>
          <w:right w:w="0" w:type="dxa"/>
        </w:tblCellMar>
      </w:tblPr>
      <w:tblGrid>
        <w:gridCol w:w="1572"/>
        <w:gridCol w:w="1722"/>
        <w:gridCol w:w="1870"/>
        <w:gridCol w:w="1722"/>
        <w:gridCol w:w="1437"/>
      </w:tblGrid>
      <w:tr>
        <w:tblPrEx>
          <w:tblCellMar>
            <w:top w:w="0" w:type="dxa"/>
            <w:left w:w="0" w:type="dxa"/>
            <w:bottom w:w="0" w:type="dxa"/>
            <w:right w:w="0" w:type="dxa"/>
          </w:tblCellMar>
        </w:tblPrEx>
        <w:trPr>
          <w:trHeight w:val="475" w:hRule="exact"/>
        </w:trPr>
        <w:tc>
          <w:tcPr>
            <w:tcW w:w="944"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ascii="仿宋" w:hAnsi="仿宋" w:cs="仿宋"/>
                <w:sz w:val="21"/>
              </w:rPr>
              <w:t>评分项目</w:t>
            </w:r>
          </w:p>
        </w:tc>
        <w:tc>
          <w:tcPr>
            <w:tcW w:w="1034"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hint="eastAsia" w:ascii="仿宋" w:hAnsi="仿宋" w:cs="仿宋"/>
                <w:sz w:val="21"/>
              </w:rPr>
              <w:t>商务部分</w:t>
            </w:r>
          </w:p>
        </w:tc>
        <w:tc>
          <w:tcPr>
            <w:tcW w:w="112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hint="eastAsia" w:ascii="仿宋" w:hAnsi="仿宋" w:cs="仿宋"/>
                <w:sz w:val="21"/>
              </w:rPr>
              <w:t>技术部分</w:t>
            </w:r>
          </w:p>
        </w:tc>
        <w:tc>
          <w:tcPr>
            <w:tcW w:w="1034"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hint="eastAsia" w:ascii="仿宋" w:hAnsi="仿宋" w:cs="仿宋"/>
                <w:sz w:val="21"/>
              </w:rPr>
              <w:t>投标价格</w:t>
            </w:r>
          </w:p>
        </w:tc>
        <w:tc>
          <w:tcPr>
            <w:tcW w:w="86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ascii="仿宋" w:hAnsi="仿宋" w:cs="仿宋"/>
                <w:sz w:val="21"/>
              </w:rPr>
              <w:t>综合得分</w:t>
            </w:r>
          </w:p>
        </w:tc>
      </w:tr>
      <w:tr>
        <w:tblPrEx>
          <w:tblCellMar>
            <w:top w:w="0" w:type="dxa"/>
            <w:left w:w="0" w:type="dxa"/>
            <w:bottom w:w="0" w:type="dxa"/>
            <w:right w:w="0" w:type="dxa"/>
          </w:tblCellMar>
        </w:tblPrEx>
        <w:trPr>
          <w:trHeight w:val="475" w:hRule="exact"/>
        </w:trPr>
        <w:tc>
          <w:tcPr>
            <w:tcW w:w="944"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ascii="仿宋" w:hAnsi="仿宋" w:cs="仿宋"/>
                <w:sz w:val="21"/>
              </w:rPr>
              <w:t>权重</w:t>
            </w:r>
          </w:p>
        </w:tc>
        <w:tc>
          <w:tcPr>
            <w:tcW w:w="1034"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hint="eastAsia" w:ascii="仿宋" w:hAnsi="仿宋" w:cs="仿宋"/>
                <w:sz w:val="21"/>
              </w:rPr>
              <w:t>35%</w:t>
            </w:r>
          </w:p>
        </w:tc>
        <w:tc>
          <w:tcPr>
            <w:tcW w:w="112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hint="eastAsia" w:ascii="仿宋" w:hAnsi="仿宋" w:cs="仿宋"/>
                <w:sz w:val="21"/>
              </w:rPr>
              <w:t>40%</w:t>
            </w:r>
          </w:p>
        </w:tc>
        <w:tc>
          <w:tcPr>
            <w:tcW w:w="1034"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hint="eastAsia" w:ascii="仿宋" w:hAnsi="仿宋" w:cs="仿宋"/>
                <w:sz w:val="21"/>
              </w:rPr>
              <w:t>25%</w:t>
            </w:r>
          </w:p>
        </w:tc>
        <w:tc>
          <w:tcPr>
            <w:tcW w:w="86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spacing w:before="0" w:line="240" w:lineRule="auto"/>
              <w:jc w:val="center"/>
              <w:rPr>
                <w:rFonts w:hint="eastAsia" w:ascii="仿宋" w:hAnsi="仿宋" w:cs="仿宋"/>
                <w:sz w:val="21"/>
              </w:rPr>
            </w:pPr>
            <w:r>
              <w:rPr>
                <w:rFonts w:ascii="仿宋" w:hAnsi="仿宋" w:cs="仿宋"/>
                <w:sz w:val="21"/>
              </w:rPr>
              <w:t>100%</w:t>
            </w:r>
          </w:p>
        </w:tc>
      </w:tr>
    </w:tbl>
    <w:p>
      <w:pPr>
        <w:adjustRightInd w:val="0"/>
        <w:snapToGrid w:val="0"/>
        <w:spacing w:before="0" w:line="560" w:lineRule="exact"/>
        <w:ind w:firstLine="566" w:firstLineChars="236"/>
        <w:jc w:val="left"/>
        <w:rPr>
          <w:rFonts w:hint="eastAsia" w:ascii="仿宋" w:hAnsi="仿宋" w:cs="仿宋"/>
        </w:rPr>
      </w:pPr>
      <w:r>
        <w:rPr>
          <w:rFonts w:hint="eastAsia" w:ascii="仿宋" w:hAnsi="仿宋" w:cs="仿宋"/>
        </w:rPr>
        <w:t>详细评审细则如下：</w:t>
      </w:r>
    </w:p>
    <w:p>
      <w:pPr>
        <w:numPr>
          <w:ilvl w:val="255"/>
          <w:numId w:val="0"/>
        </w:numPr>
        <w:adjustRightInd w:val="0"/>
        <w:snapToGrid w:val="0"/>
        <w:spacing w:before="0" w:line="560" w:lineRule="exact"/>
        <w:ind w:firstLine="566" w:firstLineChars="236"/>
        <w:jc w:val="left"/>
        <w:rPr>
          <w:rFonts w:hint="eastAsia" w:ascii="仿宋" w:hAnsi="仿宋" w:cs="仿宋"/>
        </w:rPr>
      </w:pPr>
      <w:r>
        <w:rPr>
          <w:rFonts w:hint="eastAsia" w:ascii="仿宋" w:hAnsi="仿宋" w:cs="仿宋"/>
        </w:rPr>
        <w:t>（1）具体计分标准：</w:t>
      </w:r>
    </w:p>
    <w:tbl>
      <w:tblPr>
        <w:tblStyle w:val="9"/>
        <w:tblW w:w="8332" w:type="dxa"/>
        <w:tblInd w:w="98" w:type="dxa"/>
        <w:tblLayout w:type="autofit"/>
        <w:tblCellMar>
          <w:top w:w="0" w:type="dxa"/>
          <w:left w:w="108" w:type="dxa"/>
          <w:bottom w:w="0" w:type="dxa"/>
          <w:right w:w="108" w:type="dxa"/>
        </w:tblCellMar>
      </w:tblPr>
      <w:tblGrid>
        <w:gridCol w:w="1315"/>
        <w:gridCol w:w="1276"/>
        <w:gridCol w:w="5741"/>
      </w:tblGrid>
      <w:tr>
        <w:tblPrEx>
          <w:tblCellMar>
            <w:top w:w="0" w:type="dxa"/>
            <w:left w:w="108" w:type="dxa"/>
            <w:bottom w:w="0" w:type="dxa"/>
            <w:right w:w="108" w:type="dxa"/>
          </w:tblCellMar>
        </w:tblPrEx>
        <w:trPr>
          <w:trHeight w:val="270" w:hRule="atLeast"/>
        </w:trPr>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评分项目</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评价指标</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评分标准</w:t>
            </w:r>
          </w:p>
        </w:tc>
      </w:tr>
      <w:tr>
        <w:tblPrEx>
          <w:tblCellMar>
            <w:top w:w="0" w:type="dxa"/>
            <w:left w:w="108" w:type="dxa"/>
            <w:bottom w:w="0" w:type="dxa"/>
            <w:right w:w="108" w:type="dxa"/>
          </w:tblCellMar>
        </w:tblPrEx>
        <w:trPr>
          <w:trHeight w:val="1350" w:hRule="atLeast"/>
        </w:trPr>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商务部分（35分）</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财务及经营状况</w:t>
            </w:r>
            <w:r>
              <w:rPr>
                <w:rFonts w:hint="eastAsia" w:ascii="仿宋" w:hAnsi="仿宋" w:cs="仿宋"/>
                <w:color w:val="000000"/>
                <w:kern w:val="0"/>
                <w:lang w:bidi="ar"/>
              </w:rPr>
              <w:br w:type="textWrapping"/>
            </w:r>
            <w:r>
              <w:rPr>
                <w:rFonts w:hint="eastAsia" w:ascii="仿宋" w:hAnsi="仿宋" w:cs="仿宋"/>
                <w:color w:val="000000"/>
                <w:kern w:val="0"/>
                <w:lang w:bidi="ar"/>
              </w:rPr>
              <w:t>（5分）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投标人提供2023年至2025年经第三方审计机构审计的财务审计报告，财务情况良好得5分，财务情况一般得1-4分，其余不得分。</w:t>
            </w:r>
          </w:p>
        </w:tc>
      </w:tr>
      <w:tr>
        <w:tblPrEx>
          <w:tblCellMar>
            <w:top w:w="0" w:type="dxa"/>
            <w:left w:w="108" w:type="dxa"/>
            <w:bottom w:w="0" w:type="dxa"/>
            <w:right w:w="108" w:type="dxa"/>
          </w:tblCellMar>
        </w:tblPrEx>
        <w:trPr>
          <w:trHeight w:val="270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企业业绩</w:t>
            </w:r>
            <w:r>
              <w:rPr>
                <w:rFonts w:hint="eastAsia" w:ascii="仿宋" w:hAnsi="仿宋" w:cs="仿宋"/>
                <w:color w:val="000000"/>
                <w:kern w:val="0"/>
                <w:lang w:bidi="ar"/>
              </w:rPr>
              <w:br w:type="textWrapping"/>
            </w:r>
            <w:r>
              <w:rPr>
                <w:rFonts w:hint="eastAsia" w:ascii="仿宋" w:hAnsi="仿宋" w:cs="仿宋"/>
                <w:color w:val="000000"/>
                <w:kern w:val="0"/>
                <w:lang w:bidi="ar"/>
              </w:rPr>
              <w:t>（20分）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投标人应提供至少五个央企二级子企业及以上的“十四五”或“十五五”信息化规划中长期项目证明材料，否则本项不得分。在满足前述门槛要求的基础上，每提供1个央企总部项目证明材料得5分、二级子企业项目证明材料得3分，最高20分。</w:t>
            </w:r>
          </w:p>
        </w:tc>
      </w:tr>
      <w:tr>
        <w:tblPrEx>
          <w:tblCellMar>
            <w:top w:w="0" w:type="dxa"/>
            <w:left w:w="108" w:type="dxa"/>
            <w:bottom w:w="0" w:type="dxa"/>
            <w:right w:w="108" w:type="dxa"/>
          </w:tblCellMar>
        </w:tblPrEx>
        <w:trPr>
          <w:trHeight w:val="324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团队配置和人员能力（10分）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重点评估实施团队专业性与配置合理性，实施团队人员专业背景、行业经验、项目能力，实施团队能力较强、人员配置合理，项目进度计划保证措施非常完善、合理的得8-10分；</w:t>
            </w:r>
            <w:r>
              <w:rPr>
                <w:rFonts w:hint="eastAsia" w:ascii="仿宋" w:hAnsi="仿宋" w:cs="仿宋"/>
                <w:color w:val="000000"/>
                <w:kern w:val="0"/>
                <w:lang w:bidi="ar"/>
              </w:rPr>
              <w:br w:type="textWrapping"/>
            </w:r>
            <w:r>
              <w:rPr>
                <w:rFonts w:hint="eastAsia" w:ascii="仿宋" w:hAnsi="仿宋" w:cs="仿宋"/>
                <w:color w:val="000000"/>
                <w:kern w:val="0"/>
                <w:lang w:bidi="ar"/>
              </w:rPr>
              <w:t>团队基本满足项目要求，项目进度计划保证措施一般的得4-7分；</w:t>
            </w:r>
            <w:r>
              <w:rPr>
                <w:rFonts w:hint="eastAsia" w:ascii="仿宋" w:hAnsi="仿宋" w:cs="仿宋"/>
                <w:color w:val="000000"/>
                <w:kern w:val="0"/>
                <w:lang w:bidi="ar"/>
              </w:rPr>
              <w:br w:type="textWrapping"/>
            </w:r>
            <w:r>
              <w:rPr>
                <w:rFonts w:hint="eastAsia" w:ascii="仿宋" w:hAnsi="仿宋" w:cs="仿宋"/>
                <w:color w:val="000000"/>
                <w:kern w:val="0"/>
                <w:lang w:bidi="ar"/>
              </w:rPr>
              <w:t>团队组成较弱，进度计划保证措施欠缺得0-3分。</w:t>
            </w:r>
          </w:p>
        </w:tc>
      </w:tr>
      <w:tr>
        <w:tblPrEx>
          <w:tblCellMar>
            <w:top w:w="0" w:type="dxa"/>
            <w:left w:w="108" w:type="dxa"/>
            <w:bottom w:w="0" w:type="dxa"/>
            <w:right w:w="108" w:type="dxa"/>
          </w:tblCellMar>
        </w:tblPrEx>
        <w:trPr>
          <w:trHeight w:val="3510" w:hRule="atLeast"/>
        </w:trPr>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技术部分（40分）</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规划思路与方法论（10分）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优秀（8-10分）：规划思路清晰，与集团战略高度契合，采用成熟的企业架构方法论（如TOGAF），工作步骤科学合理，有详细的时间节点和质量控制措施。 良好（5-7分）：规划思路基本合理，方法论可行，工作步骤完整但缺乏亮点。 一般（2-4分）：思路较模糊，方法较为传统，工作步骤有缺失。 较差（0-1分）：思路混乱或未提供。</w:t>
            </w:r>
          </w:p>
        </w:tc>
      </w:tr>
      <w:tr>
        <w:tblPrEx>
          <w:tblCellMar>
            <w:top w:w="0" w:type="dxa"/>
            <w:left w:w="108" w:type="dxa"/>
            <w:bottom w:w="0" w:type="dxa"/>
            <w:right w:w="108" w:type="dxa"/>
          </w:tblCellMar>
        </w:tblPrEx>
        <w:trPr>
          <w:trHeight w:val="405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重点专题研究方案（10分）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 xml:space="preserve">优秀（8-10分）：针对数据治理、网络安全、AI+管理、数智化转型、AI+科研深度融合、信创替代、IPv6深化等集团关键专题，研究内容全面、深入，分析逻辑清晰，提出的解决方案切实可行。 </w:t>
            </w:r>
            <w:r>
              <w:rPr>
                <w:rFonts w:hint="eastAsia" w:ascii="仿宋" w:hAnsi="仿宋" w:cs="仿宋"/>
                <w:color w:val="000000"/>
                <w:kern w:val="0"/>
                <w:lang w:bidi="ar"/>
              </w:rPr>
              <w:br w:type="textWrapping"/>
            </w:r>
            <w:r>
              <w:rPr>
                <w:rFonts w:hint="eastAsia" w:ascii="仿宋" w:hAnsi="仿宋" w:cs="仿宋"/>
                <w:color w:val="000000"/>
                <w:kern w:val="0"/>
                <w:lang w:bidi="ar"/>
              </w:rPr>
              <w:t xml:space="preserve">良好（5-7分）：覆盖主要专题，内容较完整，方案基本可行但深度不足。 </w:t>
            </w:r>
            <w:r>
              <w:rPr>
                <w:rFonts w:hint="eastAsia" w:ascii="仿宋" w:hAnsi="仿宋" w:cs="仿宋"/>
                <w:color w:val="000000"/>
                <w:kern w:val="0"/>
                <w:lang w:bidi="ar"/>
              </w:rPr>
              <w:br w:type="textWrapping"/>
            </w:r>
            <w:r>
              <w:rPr>
                <w:rFonts w:hint="eastAsia" w:ascii="仿宋" w:hAnsi="仿宋" w:cs="仿宋"/>
                <w:color w:val="000000"/>
                <w:kern w:val="0"/>
                <w:lang w:bidi="ar"/>
              </w:rPr>
              <w:t xml:space="preserve">一般（2-4分）：专题覆盖不全，研究内容浅显，缺乏针对性。 </w:t>
            </w:r>
            <w:r>
              <w:rPr>
                <w:rFonts w:hint="eastAsia" w:ascii="仿宋" w:hAnsi="仿宋" w:cs="仿宋"/>
                <w:color w:val="000000"/>
                <w:kern w:val="0"/>
                <w:lang w:bidi="ar"/>
              </w:rPr>
              <w:br w:type="textWrapping"/>
            </w:r>
            <w:r>
              <w:rPr>
                <w:rFonts w:hint="eastAsia" w:ascii="仿宋" w:hAnsi="仿宋" w:cs="仿宋"/>
                <w:color w:val="000000"/>
                <w:kern w:val="0"/>
                <w:lang w:bidi="ar"/>
              </w:rPr>
              <w:t>较差（0-1分）：专题研究严重缺失或质量低劣。</w:t>
            </w:r>
          </w:p>
        </w:tc>
      </w:tr>
      <w:tr>
        <w:tblPrEx>
          <w:tblCellMar>
            <w:top w:w="0" w:type="dxa"/>
            <w:left w:w="108" w:type="dxa"/>
            <w:bottom w:w="0" w:type="dxa"/>
            <w:right w:w="108" w:type="dxa"/>
          </w:tblCellMar>
        </w:tblPrEx>
        <w:trPr>
          <w:trHeight w:val="351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创新性与前瞻性（5分）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 xml:space="preserve">优秀（5分）：对新一代信息技术（如AI大模型、边缘计算、云原生等）在集团的应用场景有独到洞察，规划方案中有明确的创新性思路或试点建议。 </w:t>
            </w:r>
            <w:r>
              <w:rPr>
                <w:rFonts w:hint="eastAsia" w:ascii="仿宋" w:hAnsi="仿宋" w:cs="仿宋"/>
                <w:color w:val="000000"/>
                <w:kern w:val="0"/>
                <w:lang w:bidi="ar"/>
              </w:rPr>
              <w:br w:type="textWrapping"/>
            </w:r>
            <w:r>
              <w:rPr>
                <w:rFonts w:hint="eastAsia" w:ascii="仿宋" w:hAnsi="仿宋" w:cs="仿宋"/>
                <w:color w:val="000000"/>
                <w:kern w:val="0"/>
                <w:lang w:bidi="ar"/>
              </w:rPr>
              <w:t xml:space="preserve">良好（3-4分）：有一定前瞻性，能提及新技术趋势，但创新点不够具体。 </w:t>
            </w:r>
            <w:r>
              <w:rPr>
                <w:rFonts w:hint="eastAsia" w:ascii="仿宋" w:hAnsi="仿宋" w:cs="仿宋"/>
                <w:color w:val="000000"/>
                <w:kern w:val="0"/>
                <w:lang w:bidi="ar"/>
              </w:rPr>
              <w:br w:type="textWrapping"/>
            </w:r>
            <w:r>
              <w:rPr>
                <w:rFonts w:hint="eastAsia" w:ascii="仿宋" w:hAnsi="仿宋" w:cs="仿宋"/>
                <w:color w:val="000000"/>
                <w:kern w:val="0"/>
                <w:lang w:bidi="ar"/>
              </w:rPr>
              <w:t xml:space="preserve">一般（1-2分）：前瞻性不足，多为常规思路。 </w:t>
            </w:r>
            <w:r>
              <w:rPr>
                <w:rFonts w:hint="eastAsia" w:ascii="仿宋" w:hAnsi="仿宋" w:cs="仿宋"/>
                <w:color w:val="000000"/>
                <w:kern w:val="0"/>
                <w:lang w:bidi="ar"/>
              </w:rPr>
              <w:br w:type="textWrapping"/>
            </w:r>
            <w:r>
              <w:rPr>
                <w:rFonts w:hint="eastAsia" w:ascii="仿宋" w:hAnsi="仿宋" w:cs="仿宋"/>
                <w:color w:val="000000"/>
                <w:kern w:val="0"/>
                <w:lang w:bidi="ar"/>
              </w:rPr>
              <w:t>较差（0分）：无前瞻性或创新内容。</w:t>
            </w:r>
          </w:p>
        </w:tc>
      </w:tr>
      <w:tr>
        <w:tblPrEx>
          <w:tblCellMar>
            <w:top w:w="0" w:type="dxa"/>
            <w:left w:w="108" w:type="dxa"/>
            <w:bottom w:w="0" w:type="dxa"/>
            <w:right w:w="108" w:type="dxa"/>
          </w:tblCellMar>
        </w:tblPrEx>
        <w:trPr>
          <w:trHeight w:val="351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成果体系设计（5分）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 xml:space="preserve">优秀（5分）：成果体系完整，包括规划主报告、分年度实施计划、重大项目库、汇报PPT等，且交付物格式规范、层次清晰、可操作性强。 </w:t>
            </w:r>
            <w:r>
              <w:rPr>
                <w:rFonts w:hint="eastAsia" w:ascii="仿宋" w:hAnsi="仿宋" w:cs="仿宋"/>
                <w:color w:val="000000"/>
                <w:kern w:val="0"/>
                <w:lang w:bidi="ar"/>
              </w:rPr>
              <w:br w:type="textWrapping"/>
            </w:r>
            <w:r>
              <w:rPr>
                <w:rFonts w:hint="eastAsia" w:ascii="仿宋" w:hAnsi="仿宋" w:cs="仿宋"/>
                <w:color w:val="000000"/>
                <w:kern w:val="0"/>
                <w:lang w:bidi="ar"/>
              </w:rPr>
              <w:t xml:space="preserve">良好（3-4分）：成果基本齐全，但细节或实用性有所欠缺。 </w:t>
            </w:r>
            <w:r>
              <w:rPr>
                <w:rFonts w:hint="eastAsia" w:ascii="仿宋" w:hAnsi="仿宋" w:cs="仿宋"/>
                <w:color w:val="000000"/>
                <w:kern w:val="0"/>
                <w:lang w:bidi="ar"/>
              </w:rPr>
              <w:br w:type="textWrapping"/>
            </w:r>
            <w:r>
              <w:rPr>
                <w:rFonts w:hint="eastAsia" w:ascii="仿宋" w:hAnsi="仿宋" w:cs="仿宋"/>
                <w:color w:val="000000"/>
                <w:kern w:val="0"/>
                <w:lang w:bidi="ar"/>
              </w:rPr>
              <w:t xml:space="preserve">一般（1-2分）：成果缺项较多，交付物质量一般。 </w:t>
            </w:r>
            <w:r>
              <w:rPr>
                <w:rFonts w:hint="eastAsia" w:ascii="仿宋" w:hAnsi="仿宋" w:cs="仿宋"/>
                <w:color w:val="000000"/>
                <w:kern w:val="0"/>
                <w:lang w:bidi="ar"/>
              </w:rPr>
              <w:br w:type="textWrapping"/>
            </w:r>
            <w:r>
              <w:rPr>
                <w:rFonts w:hint="eastAsia" w:ascii="仿宋" w:hAnsi="仿宋" w:cs="仿宋"/>
                <w:color w:val="000000"/>
                <w:kern w:val="0"/>
                <w:lang w:bidi="ar"/>
              </w:rPr>
              <w:t>较差（0分）：未明确成果或成果严重不足。</w:t>
            </w:r>
          </w:p>
        </w:tc>
      </w:tr>
      <w:tr>
        <w:tblPrEx>
          <w:tblCellMar>
            <w:top w:w="0" w:type="dxa"/>
            <w:left w:w="108" w:type="dxa"/>
            <w:bottom w:w="0" w:type="dxa"/>
            <w:right w:w="108" w:type="dxa"/>
          </w:tblCellMar>
        </w:tblPrEx>
        <w:trPr>
          <w:trHeight w:val="351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项目负责人资历（8分）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综合评估项目负责人资历情况：</w:t>
            </w:r>
            <w:r>
              <w:rPr>
                <w:rFonts w:hint="eastAsia" w:ascii="仿宋" w:hAnsi="仿宋" w:cs="仿宋"/>
                <w:color w:val="000000"/>
                <w:kern w:val="0"/>
                <w:lang w:bidi="ar"/>
              </w:rPr>
              <w:br w:type="textWrapping"/>
            </w:r>
            <w:r>
              <w:rPr>
                <w:rFonts w:hint="eastAsia" w:ascii="仿宋" w:hAnsi="仿宋" w:cs="仿宋"/>
                <w:color w:val="000000"/>
                <w:kern w:val="0"/>
                <w:lang w:bidi="ar"/>
              </w:rPr>
              <w:t>1.拥有央企二级子企业及以上咨询服务类项目管理经验，得2-4分；</w:t>
            </w:r>
            <w:r>
              <w:rPr>
                <w:rFonts w:hint="eastAsia" w:ascii="仿宋" w:hAnsi="仿宋" w:cs="仿宋"/>
                <w:color w:val="000000"/>
                <w:kern w:val="0"/>
                <w:lang w:bidi="ar"/>
              </w:rPr>
              <w:br w:type="textWrapping"/>
            </w:r>
            <w:r>
              <w:rPr>
                <w:rFonts w:hint="eastAsia" w:ascii="仿宋" w:hAnsi="仿宋" w:cs="仿宋"/>
                <w:color w:val="000000"/>
                <w:kern w:val="0"/>
                <w:lang w:bidi="ar"/>
              </w:rPr>
              <w:t>2.拥有信息系统项目管理师得1分；</w:t>
            </w:r>
            <w:r>
              <w:rPr>
                <w:rFonts w:hint="eastAsia" w:ascii="仿宋" w:hAnsi="仿宋" w:cs="仿宋"/>
                <w:color w:val="000000"/>
                <w:kern w:val="0"/>
                <w:lang w:bidi="ar"/>
              </w:rPr>
              <w:br w:type="textWrapping"/>
            </w:r>
            <w:r>
              <w:rPr>
                <w:rFonts w:hint="eastAsia" w:ascii="仿宋" w:hAnsi="仿宋" w:cs="仿宋"/>
                <w:color w:val="000000"/>
                <w:kern w:val="0"/>
                <w:lang w:bidi="ar"/>
              </w:rPr>
              <w:t>3.PMP项目管理证书得1分；</w:t>
            </w:r>
            <w:r>
              <w:rPr>
                <w:rFonts w:hint="eastAsia" w:ascii="仿宋" w:hAnsi="仿宋" w:cs="仿宋"/>
                <w:color w:val="000000"/>
                <w:kern w:val="0"/>
                <w:lang w:bidi="ar"/>
              </w:rPr>
              <w:br w:type="textWrapping"/>
            </w:r>
            <w:r>
              <w:rPr>
                <w:rFonts w:hint="eastAsia" w:ascii="仿宋" w:hAnsi="仿宋" w:cs="仿宋"/>
                <w:color w:val="000000"/>
                <w:kern w:val="0"/>
                <w:lang w:bidi="ar"/>
              </w:rPr>
              <w:t>要求从事相关咨询工作年限不低于8年，需提供相关证明文件并加盖供应商公章，提供社保证明，满足条件得2分；</w:t>
            </w:r>
          </w:p>
        </w:tc>
      </w:tr>
      <w:tr>
        <w:tblPrEx>
          <w:tblCellMar>
            <w:top w:w="0" w:type="dxa"/>
            <w:left w:w="108" w:type="dxa"/>
            <w:bottom w:w="0" w:type="dxa"/>
            <w:right w:w="108" w:type="dxa"/>
          </w:tblCellMar>
        </w:tblPrEx>
        <w:trPr>
          <w:trHeight w:val="243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cs="仿宋"/>
                <w:color w:val="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服务质量保障体系（2分）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质量保障体系全面，服务流程清晰、问题响应机制、质量管控措施、应急预案完整且针对性强的得2分；</w:t>
            </w:r>
            <w:r>
              <w:rPr>
                <w:rFonts w:hint="eastAsia" w:ascii="仿宋" w:hAnsi="仿宋" w:cs="仿宋"/>
                <w:color w:val="000000"/>
                <w:kern w:val="0"/>
                <w:lang w:bidi="ar"/>
              </w:rPr>
              <w:br w:type="textWrapping"/>
            </w:r>
            <w:r>
              <w:rPr>
                <w:rFonts w:hint="eastAsia" w:ascii="仿宋" w:hAnsi="仿宋" w:cs="仿宋"/>
                <w:color w:val="000000"/>
                <w:kern w:val="0"/>
                <w:lang w:bidi="ar"/>
              </w:rPr>
              <w:t>质量保障体系基本完整，但部分措施可操作性不足得1分；</w:t>
            </w:r>
            <w:r>
              <w:rPr>
                <w:rFonts w:hint="eastAsia" w:ascii="仿宋" w:hAnsi="仿宋" w:cs="仿宋"/>
                <w:color w:val="000000"/>
                <w:kern w:val="0"/>
                <w:lang w:bidi="ar"/>
              </w:rPr>
              <w:br w:type="textWrapping"/>
            </w:r>
            <w:r>
              <w:rPr>
                <w:rFonts w:hint="eastAsia" w:ascii="仿宋" w:hAnsi="仿宋" w:cs="仿宋"/>
                <w:color w:val="000000"/>
                <w:kern w:val="0"/>
                <w:lang w:bidi="ar"/>
              </w:rPr>
              <w:t>质量保障体系缺失关键内容不得分；</w:t>
            </w:r>
          </w:p>
        </w:tc>
      </w:tr>
      <w:tr>
        <w:tblPrEx>
          <w:tblCellMar>
            <w:top w:w="0" w:type="dxa"/>
            <w:left w:w="108" w:type="dxa"/>
            <w:bottom w:w="0" w:type="dxa"/>
            <w:right w:w="108" w:type="dxa"/>
          </w:tblCellMar>
        </w:tblPrEx>
        <w:trPr>
          <w:trHeight w:val="2970" w:hRule="atLeast"/>
        </w:trPr>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价格部分（25分）</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cs="仿宋"/>
                <w:color w:val="000000"/>
              </w:rPr>
            </w:pPr>
            <w:r>
              <w:rPr>
                <w:rFonts w:hint="eastAsia" w:ascii="仿宋" w:hAnsi="仿宋" w:cs="仿宋"/>
                <w:color w:val="000000"/>
                <w:kern w:val="0"/>
                <w:lang w:bidi="ar"/>
              </w:rPr>
              <w:t>投标价格</w:t>
            </w:r>
            <w:r>
              <w:rPr>
                <w:rFonts w:hint="eastAsia" w:ascii="仿宋" w:hAnsi="仿宋" w:cs="仿宋"/>
                <w:color w:val="000000"/>
                <w:kern w:val="0"/>
                <w:lang w:bidi="ar"/>
              </w:rPr>
              <w:br w:type="textWrapping"/>
            </w:r>
            <w:r>
              <w:rPr>
                <w:rFonts w:hint="eastAsia" w:ascii="仿宋" w:hAnsi="仿宋" w:cs="仿宋"/>
                <w:color w:val="000000"/>
                <w:kern w:val="0"/>
                <w:lang w:bidi="ar"/>
              </w:rPr>
              <w:t>（25分）</w:t>
            </w:r>
          </w:p>
        </w:tc>
        <w:tc>
          <w:tcPr>
            <w:tcW w:w="5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color w:val="000000"/>
                <w:lang w:val="en-US" w:eastAsia="zh-CN"/>
              </w:rPr>
            </w:pPr>
            <w:r>
              <w:rPr>
                <w:rFonts w:hint="eastAsia" w:ascii="仿宋" w:hAnsi="仿宋" w:cs="仿宋"/>
                <w:color w:val="000000"/>
                <w:kern w:val="0"/>
                <w:lang w:bidi="ar"/>
              </w:rPr>
              <w:t>1.通过初步评审的各</w:t>
            </w:r>
            <w:r>
              <w:rPr>
                <w:rFonts w:hint="eastAsia" w:ascii="仿宋" w:hAnsi="仿宋" w:cs="仿宋"/>
                <w:color w:val="000000"/>
                <w:kern w:val="0"/>
                <w:lang w:val="en-US" w:eastAsia="zh-CN" w:bidi="ar"/>
              </w:rPr>
              <w:t>有效投标</w:t>
            </w:r>
            <w:r>
              <w:rPr>
                <w:rFonts w:hint="eastAsia" w:ascii="仿宋" w:hAnsi="仿宋" w:cs="仿宋"/>
                <w:color w:val="000000"/>
                <w:kern w:val="0"/>
                <w:lang w:bidi="ar"/>
              </w:rPr>
              <w:t>人（若有效响应人大于</w:t>
            </w:r>
            <w:r>
              <w:rPr>
                <w:rFonts w:hint="eastAsia" w:ascii="仿宋" w:hAnsi="仿宋" w:cs="仿宋"/>
                <w:color w:val="000000"/>
                <w:kern w:val="0"/>
                <w:lang w:val="en-US" w:eastAsia="zh-CN" w:bidi="ar"/>
              </w:rPr>
              <w:t>7</w:t>
            </w:r>
            <w:r>
              <w:rPr>
                <w:rFonts w:hint="eastAsia" w:ascii="仿宋" w:hAnsi="仿宋" w:cs="仿宋"/>
                <w:color w:val="000000"/>
                <w:kern w:val="0"/>
                <w:lang w:bidi="ar"/>
              </w:rPr>
              <w:t>家时（含</w:t>
            </w:r>
            <w:r>
              <w:rPr>
                <w:rFonts w:hint="eastAsia" w:ascii="仿宋" w:hAnsi="仿宋" w:cs="仿宋"/>
                <w:color w:val="000000"/>
                <w:kern w:val="0"/>
                <w:lang w:val="en-US" w:eastAsia="zh-CN" w:bidi="ar"/>
              </w:rPr>
              <w:t>7</w:t>
            </w:r>
            <w:r>
              <w:rPr>
                <w:rFonts w:hint="eastAsia" w:ascii="仿宋" w:hAnsi="仿宋" w:cs="仿宋"/>
                <w:color w:val="000000"/>
                <w:kern w:val="0"/>
                <w:lang w:bidi="ar"/>
              </w:rPr>
              <w:t>家），去掉一个最高价和一个最低价）的有效报价的算术平均值作为基准价。</w:t>
            </w:r>
            <w:r>
              <w:rPr>
                <w:rFonts w:hint="eastAsia" w:ascii="仿宋" w:hAnsi="仿宋" w:cs="仿宋"/>
                <w:color w:val="000000"/>
                <w:kern w:val="0"/>
                <w:lang w:bidi="ar"/>
              </w:rPr>
              <w:br w:type="textWrapping"/>
            </w:r>
            <w:r>
              <w:rPr>
                <w:rFonts w:hint="eastAsia" w:ascii="仿宋" w:hAnsi="仿宋" w:cs="仿宋"/>
                <w:color w:val="000000"/>
                <w:kern w:val="0"/>
                <w:lang w:bidi="ar"/>
              </w:rPr>
              <w:t>2.偏差系数=|基准价-有效投标人投标价|/基准价×100</w:t>
            </w:r>
            <w:r>
              <w:rPr>
                <w:rFonts w:hint="eastAsia" w:ascii="仿宋" w:hAnsi="仿宋" w:cs="仿宋"/>
                <w:color w:val="000000"/>
                <w:kern w:val="0"/>
                <w:lang w:bidi="ar"/>
              </w:rPr>
              <w:br w:type="textWrapping"/>
            </w:r>
            <w:r>
              <w:rPr>
                <w:rFonts w:hint="eastAsia" w:ascii="仿宋" w:hAnsi="仿宋" w:cs="仿宋"/>
                <w:color w:val="000000"/>
                <w:kern w:val="0"/>
                <w:lang w:bidi="ar"/>
              </w:rPr>
              <w:t>3.投标价高于基准价，扣分因子为0.4</w:t>
            </w:r>
            <w:r>
              <w:rPr>
                <w:rFonts w:hint="eastAsia" w:ascii="仿宋" w:hAnsi="仿宋" w:cs="仿宋"/>
                <w:color w:val="000000"/>
                <w:kern w:val="0"/>
                <w:lang w:bidi="ar"/>
              </w:rPr>
              <w:br w:type="textWrapping"/>
            </w:r>
            <w:r>
              <w:rPr>
                <w:rFonts w:hint="eastAsia" w:ascii="仿宋" w:hAnsi="仿宋" w:cs="仿宋"/>
                <w:color w:val="000000"/>
                <w:kern w:val="0"/>
                <w:lang w:bidi="ar"/>
              </w:rPr>
              <w:t>4.投标价低于基准价，扣分因子为0.15</w:t>
            </w:r>
            <w:r>
              <w:rPr>
                <w:rFonts w:hint="eastAsia" w:ascii="仿宋" w:hAnsi="仿宋" w:cs="仿宋"/>
                <w:color w:val="000000"/>
                <w:kern w:val="0"/>
                <w:lang w:bidi="ar"/>
              </w:rPr>
              <w:br w:type="textWrapping"/>
            </w:r>
            <w:r>
              <w:rPr>
                <w:rFonts w:hint="eastAsia" w:ascii="仿宋" w:hAnsi="仿宋" w:cs="仿宋"/>
                <w:color w:val="000000"/>
                <w:kern w:val="0"/>
                <w:lang w:bidi="ar"/>
              </w:rPr>
              <w:t>5.投标价得分计算公式：</w:t>
            </w:r>
            <w:r>
              <w:rPr>
                <w:rFonts w:hint="eastAsia" w:ascii="仿宋" w:hAnsi="仿宋" w:cs="仿宋"/>
                <w:color w:val="000000"/>
                <w:kern w:val="0"/>
                <w:lang w:bidi="ar"/>
              </w:rPr>
              <w:br w:type="textWrapping"/>
            </w:r>
            <w:r>
              <w:rPr>
                <w:rFonts w:hint="eastAsia" w:ascii="仿宋" w:hAnsi="仿宋" w:cs="仿宋"/>
                <w:color w:val="000000"/>
                <w:kern w:val="0"/>
                <w:lang w:bidi="ar"/>
              </w:rPr>
              <w:t>报价得分=25-偏差系数×扣分因子。</w:t>
            </w:r>
            <w:r>
              <w:rPr>
                <w:rFonts w:hint="eastAsia" w:ascii="仿宋" w:hAnsi="仿宋" w:cs="仿宋"/>
                <w:color w:val="000000"/>
                <w:kern w:val="0"/>
                <w:lang w:val="en-US" w:eastAsia="zh-CN" w:bidi="ar"/>
              </w:rPr>
              <w:t>如果报价得分&lt;0分，则按照0分计算。</w:t>
            </w:r>
          </w:p>
        </w:tc>
      </w:tr>
    </w:tbl>
    <w:p>
      <w:pPr>
        <w:adjustRightInd w:val="0"/>
        <w:snapToGrid w:val="0"/>
        <w:spacing w:before="0" w:line="560" w:lineRule="exact"/>
        <w:ind w:firstLine="480" w:firstLineChars="200"/>
        <w:rPr>
          <w:rFonts w:hint="eastAsia" w:ascii="等线" w:hAnsi="等线" w:cs="Times New Roman"/>
          <w:kern w:val="44"/>
          <w:szCs w:val="44"/>
        </w:rPr>
      </w:pPr>
      <w:r>
        <w:rPr>
          <w:rFonts w:hint="eastAsia" w:ascii="仿宋" w:hAnsi="仿宋" w:cs="仿宋"/>
          <w:kern w:val="44"/>
        </w:rPr>
        <w:t>（2）</w:t>
      </w:r>
      <w:r>
        <w:rPr>
          <w:rFonts w:hint="eastAsia" w:ascii="等线" w:hAnsi="等线" w:cs="Times New Roman"/>
          <w:kern w:val="44"/>
          <w:szCs w:val="44"/>
        </w:rPr>
        <w:t>若出现综合得分并列时，按技术、价格、</w:t>
      </w:r>
      <w:bookmarkStart w:id="31" w:name="_GoBack"/>
      <w:bookmarkEnd w:id="31"/>
      <w:r>
        <w:rPr>
          <w:rFonts w:hint="eastAsia" w:ascii="等线" w:hAnsi="等线" w:cs="Times New Roman"/>
          <w:kern w:val="44"/>
          <w:szCs w:val="44"/>
        </w:rPr>
        <w:t>商务依次排序。即首先比较技术分，此项得分高者优先，若技术分仍相同，比较价格分，若仍相同，比较商务分。</w:t>
      </w:r>
    </w:p>
    <w:p>
      <w:pPr>
        <w:adjustRightInd w:val="0"/>
        <w:snapToGrid w:val="0"/>
        <w:spacing w:before="0" w:line="560" w:lineRule="exact"/>
        <w:ind w:firstLine="480" w:firstLineChars="200"/>
        <w:rPr>
          <w:rFonts w:hint="eastAsia" w:ascii="等线" w:hAnsi="等线" w:cs="Times New Roman"/>
          <w:kern w:val="44"/>
          <w:szCs w:val="44"/>
        </w:rPr>
      </w:pPr>
      <w:r>
        <w:rPr>
          <w:rFonts w:hint="eastAsia" w:ascii="等线" w:hAnsi="等线" w:cs="Times New Roman"/>
          <w:kern w:val="44"/>
          <w:szCs w:val="44"/>
        </w:rPr>
        <w:br w:type="page"/>
      </w:r>
    </w:p>
    <w:p>
      <w:pPr>
        <w:adjustRightInd w:val="0"/>
        <w:snapToGrid w:val="0"/>
        <w:spacing w:before="0" w:line="560" w:lineRule="exact"/>
        <w:jc w:val="left"/>
        <w:rPr>
          <w:rFonts w:hint="eastAsia" w:ascii="宋体" w:hAnsi="宋体" w:eastAsia="宋体" w:cs="仿宋"/>
          <w:szCs w:val="21"/>
        </w:rPr>
      </w:pP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八、评标报告</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1.各评委向评标委员会宣读本人评审意见和打分情况，评标委员会综合后根据投标单位</w:t>
      </w:r>
      <w:r>
        <w:rPr>
          <w:rFonts w:hint="eastAsia" w:ascii="仿宋" w:hAnsi="仿宋" w:cs="仿宋"/>
        </w:rPr>
        <w:t>评分</w:t>
      </w:r>
      <w:r>
        <w:rPr>
          <w:rFonts w:ascii="仿宋" w:hAnsi="仿宋" w:cs="仿宋"/>
        </w:rPr>
        <w:t>的排序将中标人记录在评标报告中。评标委员会在评标过程中发现问题，应及时做出处理或者向招标人提出处理意见，并</w:t>
      </w:r>
      <w:r>
        <w:rPr>
          <w:rFonts w:hint="eastAsia" w:ascii="仿宋" w:hAnsi="仿宋" w:cs="仿宋"/>
        </w:rPr>
        <w:t>做</w:t>
      </w:r>
      <w:r>
        <w:rPr>
          <w:rFonts w:ascii="仿宋" w:hAnsi="仿宋" w:cs="仿宋"/>
        </w:rPr>
        <w:t>书面记录。</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2.评标委员会完成评标后，应当向招标人提出书面评标报告。评标报告应当如实记载以下内容：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（一）评标委员会成员名单；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（二）初步评审记录表；</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（三）商务部分评审记录表；</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（四）技术部分评审记录表；</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（五）价格评审记录表；</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（六）推荐的中标候选人名单；</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（七）其他文件。</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九、中标单位的确定</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中标候选人产生办法：</w:t>
      </w:r>
      <w:r>
        <w:rPr>
          <w:rFonts w:hint="eastAsia" w:ascii="仿宋" w:hAnsi="仿宋" w:cs="仿宋"/>
        </w:rPr>
        <w:t>根据评标委员会推荐的3名中标候选人名单，由招标方最终确定综合评审排名第一的中标候选人为中标单位。</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十、重新招标</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有下列情况之一的招标人将依法重新招标：</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1.投标人少于三个或者所有投标被否决的；</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2.评标委员会初步评审后，将投标人的投标界定为废标后，因有效投标不足三家，评标委员会可继续进行评审。经详细评审评标委员会认为投标明显缺乏竞争的，评标委员会可以否决所有投标，招标人应当依法重新招标。</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十一、评标成员在采购活动中承担的义务</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（一）遵守评审工作纪律；</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（二）按照客观、公正、审慎的原则，根据招标文件规定的评审程序、评审方法和评审标准进行独立评审；</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（三）不得泄露评审文件、评审情况和在评审过程中获悉的商业秘密；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（四）及时向监督部门报告评审过程中招标采购单位向评审成员做倾向性、误导性的解释或者说明，投标人行贿、提供虚假材料或者串通、受到的非法干预情况等违法违规行为；</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（五）发现招标文件内容违反国家有关强制性规定或者存在歧义、重大缺陷导致评审工作无法进行时，停止评审并向招标采购单位书面说明情况；</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（六）配合答复处理投标人的询问、质疑和投诉等事项；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（七）法律法规和规章规定的其他义务。</w:t>
      </w:r>
    </w:p>
    <w:p>
      <w:pPr>
        <w:adjustRightInd w:val="0"/>
        <w:snapToGrid w:val="0"/>
        <w:spacing w:before="0" w:line="560" w:lineRule="exact"/>
        <w:ind w:firstLine="482" w:firstLineChars="200"/>
        <w:outlineLvl w:val="3"/>
        <w:rPr>
          <w:rFonts w:hint="eastAsia" w:ascii="等线" w:hAnsi="等线" w:cs="Times New Roman"/>
          <w:b/>
          <w:bCs/>
          <w:kern w:val="44"/>
          <w:szCs w:val="44"/>
        </w:rPr>
      </w:pPr>
      <w:r>
        <w:rPr>
          <w:rFonts w:hint="eastAsia" w:ascii="等线" w:hAnsi="等线" w:cs="Times New Roman"/>
          <w:b/>
          <w:bCs/>
          <w:kern w:val="44"/>
          <w:szCs w:val="44"/>
        </w:rPr>
        <w:t>十二、评标成员在评标过程应当遵守的工作纪律</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（一）遵守招标人公司招标制度的规定。</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（二）评标前，应当将通讯工具或者相关电子设备交由招标采购单位统一保管。</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三）评标过程中，不得干预或者影响正常评标工作，不得发表倾向性、引导性意见，不得修改或细化招标文件确定的评标程序、评标方法、评标因素和评标标准，不得接受投标人主动提出的澄清和解释，不得征询招标采购单位代表的意见，不得协商评分，不得违反规定的评标格式评分和撰写评标意见，不得拒绝对自己的评标意见签字确认。</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（四）在评标过程中和评标结束后，不得记录、复制或带走任何评标资料，除规定的义务外，不得向外界透露评标内容。</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（五）服从招标采购单位的评标现场秩序管理，接受评标现场监督人员的合法监督。</w:t>
      </w:r>
    </w:p>
    <w:p>
      <w:pPr>
        <w:adjustRightInd w:val="0"/>
        <w:snapToGrid w:val="0"/>
        <w:spacing w:before="0" w:line="560" w:lineRule="exact"/>
        <w:ind w:firstLine="480" w:firstLineChars="200"/>
        <w:jc w:val="left"/>
        <w:rPr>
          <w:rFonts w:hint="eastAsia" w:ascii="宋体" w:hAnsi="宋体" w:eastAsia="宋体" w:cs="仿宋"/>
          <w:szCs w:val="21"/>
        </w:rPr>
      </w:pPr>
      <w:r>
        <w:rPr>
          <w:rFonts w:hint="eastAsia" w:ascii="仿宋" w:hAnsi="仿宋" w:cs="仿宋"/>
        </w:rPr>
        <w:t>（六）遵守有关廉洁自律规定，不得私下接触投标人，不得收受投标人及有关业务单位和个人的财物或好处，不得接受采购组织单位的请托。</w:t>
      </w:r>
      <w:r>
        <w:rPr>
          <w:rFonts w:ascii="宋体" w:hAnsi="宋体" w:eastAsia="宋体" w:cs="仿宋"/>
          <w:szCs w:val="21"/>
        </w:rPr>
        <w:br w:type="page"/>
      </w:r>
    </w:p>
    <w:p>
      <w:pPr>
        <w:pStyle w:val="2"/>
        <w:numPr>
          <w:ilvl w:val="0"/>
          <w:numId w:val="1"/>
        </w:numPr>
        <w:adjustRightInd w:val="0"/>
        <w:snapToGrid w:val="0"/>
        <w:spacing w:before="0" w:beforeLines="0" w:line="560" w:lineRule="exact"/>
        <w:jc w:val="center"/>
        <w:rPr>
          <w:rFonts w:hint="eastAsia" w:ascii="等线" w:hAnsi="等线" w:cs="Times New Roman"/>
        </w:rPr>
      </w:pPr>
      <w:r>
        <w:rPr>
          <w:rFonts w:hint="eastAsia" w:ascii="等线" w:hAnsi="等线" w:cs="Times New Roman"/>
        </w:rPr>
        <w:t xml:space="preserve"> </w:t>
      </w:r>
      <w:bookmarkStart w:id="15" w:name="_Toc172229633"/>
      <w:bookmarkStart w:id="16" w:name="_Toc2056212401"/>
      <w:bookmarkStart w:id="17" w:name="_Toc20122"/>
      <w:bookmarkStart w:id="18" w:name="_Toc22538"/>
      <w:bookmarkStart w:id="19" w:name="_Toc9327"/>
      <w:bookmarkStart w:id="20" w:name="_Toc3572"/>
      <w:r>
        <w:rPr>
          <w:rFonts w:hint="eastAsia" w:ascii="等线" w:hAnsi="等线" w:cs="Times New Roman"/>
        </w:rPr>
        <w:t>项目需求书</w:t>
      </w:r>
      <w:bookmarkEnd w:id="15"/>
      <w:bookmarkEnd w:id="16"/>
      <w:bookmarkEnd w:id="17"/>
      <w:bookmarkEnd w:id="18"/>
      <w:bookmarkEnd w:id="19"/>
      <w:bookmarkEnd w:id="20"/>
    </w:p>
    <w:p>
      <w:pPr>
        <w:keepNext/>
        <w:keepLines/>
        <w:numPr>
          <w:ilvl w:val="1"/>
          <w:numId w:val="7"/>
        </w:numPr>
        <w:adjustRightInd w:val="0"/>
        <w:snapToGrid w:val="0"/>
        <w:spacing w:before="0" w:line="560" w:lineRule="exact"/>
        <w:jc w:val="center"/>
        <w:outlineLvl w:val="3"/>
        <w:rPr>
          <w:rFonts w:hint="eastAsia" w:ascii="等线 Light" w:hAnsi="等线 Light" w:eastAsia="黑体" w:cs="Times New Roman"/>
          <w:b/>
          <w:bCs/>
          <w:sz w:val="28"/>
          <w:szCs w:val="32"/>
        </w:rPr>
      </w:pPr>
      <w:r>
        <w:rPr>
          <w:rFonts w:hint="eastAsia" w:ascii="等线 Light" w:hAnsi="等线 Light" w:eastAsia="黑体" w:cs="Times New Roman"/>
          <w:b/>
          <w:bCs/>
          <w:sz w:val="28"/>
          <w:szCs w:val="32"/>
        </w:rPr>
        <w:t>项目背景和目标</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项目背景：为全面落实国家“十五五”时期数字中国建设总体部署，深入贯彻国资委有关工作要求，紧抓新一代信息技术革命和产业变革机遇，加快推进中国机械科学研究总院集团有限公司（下文简称集团）数字化转型和人工智能应用，加强财务数智化转型升级、智能化穿透式监管的总体部署，</w:t>
      </w:r>
      <w:r>
        <w:rPr>
          <w:rFonts w:hint="eastAsia" w:ascii="仿宋" w:hAnsi="仿宋" w:cs="仿宋"/>
          <w:color w:val="000000"/>
        </w:rPr>
        <w:t>现启动“十五五”网络安全和信息化规划编制服务服务项目招标工作，公开遴选专业咨询机构提供高质量规划编制和咨询服务。</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项目目标：本项目以建成全领域数字化资源管理平台、实现集团数智化转型、AI+管理提效、AI+科研深度融合为核心目标，围绕</w:t>
      </w:r>
      <w:r>
        <w:rPr>
          <w:rFonts w:hint="eastAsia"/>
          <w:lang w:eastAsia="zh"/>
        </w:rPr>
        <w:t>“全级次、全流程、全要素”的穿透式监管要求</w:t>
      </w:r>
      <w:r>
        <w:rPr>
          <w:rFonts w:hint="eastAsia"/>
        </w:rPr>
        <w:t>，</w:t>
      </w:r>
      <w:r>
        <w:rPr>
          <w:rFonts w:hint="eastAsia" w:ascii="仿宋" w:hAnsi="仿宋" w:cs="仿宋"/>
        </w:rPr>
        <w:t>科学谋划未来五年信息化发展路径，系统梳理集团数字化转型需求，明确重点建设任务和实施策略。通过咨询服务，提升数字化治理水平和风险防控能力，建立AI+管理体系，强化业财融合与数据治理能力，实现AI+科研深度融合，培养高素质数字化人才队伍，为集团数字化高质量发展提供战略指引。</w:t>
      </w:r>
    </w:p>
    <w:p>
      <w:pPr>
        <w:keepNext/>
        <w:keepLines/>
        <w:numPr>
          <w:ilvl w:val="1"/>
          <w:numId w:val="8"/>
        </w:numPr>
        <w:adjustRightInd w:val="0"/>
        <w:snapToGrid w:val="0"/>
        <w:spacing w:before="0" w:line="560" w:lineRule="exact"/>
        <w:jc w:val="center"/>
        <w:outlineLvl w:val="3"/>
        <w:rPr>
          <w:rFonts w:hint="eastAsia" w:ascii="等线 Light" w:hAnsi="等线 Light" w:eastAsia="黑体" w:cs="Times New Roman"/>
          <w:b/>
          <w:bCs/>
          <w:sz w:val="28"/>
          <w:szCs w:val="32"/>
        </w:rPr>
      </w:pPr>
      <w:r>
        <w:rPr>
          <w:rFonts w:hint="eastAsia" w:ascii="等线 Light" w:hAnsi="等线 Light" w:eastAsia="黑体" w:cs="Times New Roman"/>
          <w:b/>
          <w:bCs/>
          <w:sz w:val="28"/>
          <w:szCs w:val="32"/>
        </w:rPr>
        <w:t>项目进度要求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本项目服务周期为合同签订之日起12个月，其中规划编制阶段为</w:t>
      </w:r>
      <w:r>
        <w:rPr>
          <w:rFonts w:hint="eastAsia" w:ascii="仿宋" w:hAnsi="仿宋" w:cs="仿宋"/>
          <w:lang w:eastAsia="zh"/>
        </w:rPr>
        <w:t>4</w:t>
      </w:r>
      <w:r>
        <w:rPr>
          <w:rFonts w:hint="eastAsia" w:ascii="仿宋" w:hAnsi="仿宋" w:cs="仿宋"/>
        </w:rPr>
        <w:t>个月，实施指导阶段为</w:t>
      </w:r>
      <w:r>
        <w:rPr>
          <w:rFonts w:hint="eastAsia" w:ascii="仿宋" w:hAnsi="仿宋" w:cs="仿宋"/>
          <w:lang w:eastAsia="zh"/>
        </w:rPr>
        <w:t>8</w:t>
      </w:r>
      <w:r>
        <w:rPr>
          <w:rFonts w:hint="eastAsia" w:ascii="仿宋" w:hAnsi="仿宋" w:cs="仿宋"/>
        </w:rPr>
        <w:t>个月。具体阶段划分如下：</w:t>
      </w:r>
    </w:p>
    <w:tbl>
      <w:tblPr>
        <w:tblStyle w:val="10"/>
        <w:tblW w:w="83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268"/>
        <w:gridCol w:w="202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阶段</w:t>
            </w:r>
          </w:p>
        </w:tc>
        <w:tc>
          <w:tcPr>
            <w:tcW w:w="2268"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时间</w:t>
            </w:r>
          </w:p>
        </w:tc>
        <w:tc>
          <w:tcPr>
            <w:tcW w:w="202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主要工作内容</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现状调研与诊断</w:t>
            </w:r>
          </w:p>
        </w:tc>
        <w:tc>
          <w:tcPr>
            <w:tcW w:w="2268"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8</w:t>
            </w:r>
            <w:r>
              <w:rPr>
                <w:rFonts w:ascii="仿宋" w:hAnsi="仿宋" w:cs="仿宋"/>
                <w:color w:val="333333"/>
                <w:lang w:eastAsia="zh"/>
              </w:rPr>
              <w:t>月</w:t>
            </w:r>
            <w:r>
              <w:rPr>
                <w:rFonts w:hint="eastAsia" w:ascii="仿宋" w:hAnsi="仿宋" w:cs="仿宋"/>
                <w:color w:val="333333"/>
              </w:rPr>
              <w:t>1</w:t>
            </w:r>
            <w:r>
              <w:rPr>
                <w:rFonts w:ascii="仿宋" w:hAnsi="仿宋" w:cs="仿宋"/>
                <w:color w:val="333333"/>
                <w:lang w:eastAsia="zh"/>
              </w:rPr>
              <w:t>日-2026年</w:t>
            </w:r>
            <w:r>
              <w:rPr>
                <w:rFonts w:hint="eastAsia" w:ascii="仿宋" w:hAnsi="仿宋" w:cs="仿宋"/>
                <w:color w:val="333333"/>
              </w:rPr>
              <w:t>8</w:t>
            </w:r>
            <w:r>
              <w:rPr>
                <w:rFonts w:ascii="仿宋" w:hAnsi="仿宋" w:cs="仿宋"/>
                <w:color w:val="333333"/>
                <w:lang w:eastAsia="zh"/>
              </w:rPr>
              <w:t>月3</w:t>
            </w:r>
            <w:r>
              <w:rPr>
                <w:rFonts w:hint="eastAsia" w:ascii="仿宋" w:hAnsi="仿宋" w:cs="仿宋"/>
                <w:color w:val="333333"/>
              </w:rPr>
              <w:t>1</w:t>
            </w:r>
            <w:r>
              <w:rPr>
                <w:rFonts w:ascii="仿宋" w:hAnsi="仿宋" w:cs="仿宋"/>
                <w:color w:val="333333"/>
                <w:lang w:eastAsia="zh"/>
              </w:rPr>
              <w:t>日</w:t>
            </w:r>
          </w:p>
        </w:tc>
        <w:tc>
          <w:tcPr>
            <w:tcW w:w="202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现场调研、需求访谈、现状评估</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《“十四五”信息化建设成效评估报告》、《需求分析报告》等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战略研究与架构设计</w:t>
            </w:r>
          </w:p>
        </w:tc>
        <w:tc>
          <w:tcPr>
            <w:tcW w:w="2268"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9</w:t>
            </w:r>
            <w:r>
              <w:rPr>
                <w:rFonts w:ascii="仿宋" w:hAnsi="仿宋" w:cs="仿宋"/>
                <w:color w:val="333333"/>
                <w:lang w:eastAsia="zh"/>
              </w:rPr>
              <w:t>月1日-2026年</w:t>
            </w:r>
            <w:r>
              <w:rPr>
                <w:rFonts w:hint="eastAsia" w:ascii="仿宋" w:hAnsi="仿宋" w:cs="仿宋"/>
                <w:color w:val="333333"/>
              </w:rPr>
              <w:t>9</w:t>
            </w:r>
            <w:r>
              <w:rPr>
                <w:rFonts w:ascii="仿宋" w:hAnsi="仿宋" w:cs="仿宋"/>
                <w:color w:val="333333"/>
                <w:lang w:eastAsia="zh"/>
              </w:rPr>
              <w:t>月3</w:t>
            </w:r>
            <w:r>
              <w:rPr>
                <w:rFonts w:hint="eastAsia" w:ascii="仿宋" w:hAnsi="仿宋" w:cs="仿宋"/>
                <w:color w:val="333333"/>
              </w:rPr>
              <w:t>0</w:t>
            </w:r>
            <w:r>
              <w:rPr>
                <w:rFonts w:ascii="仿宋" w:hAnsi="仿宋" w:cs="仿宋"/>
                <w:color w:val="333333"/>
                <w:lang w:eastAsia="zh"/>
              </w:rPr>
              <w:t>日</w:t>
            </w:r>
          </w:p>
        </w:tc>
        <w:tc>
          <w:tcPr>
            <w:tcW w:w="202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战略定位、总体架构设计</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《集团“十五五” 数字化总体架构设计报告》等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规划编制与项目设计</w:t>
            </w:r>
          </w:p>
        </w:tc>
        <w:tc>
          <w:tcPr>
            <w:tcW w:w="2268"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10</w:t>
            </w:r>
            <w:r>
              <w:rPr>
                <w:rFonts w:ascii="仿宋" w:hAnsi="仿宋" w:cs="仿宋"/>
                <w:color w:val="333333"/>
                <w:lang w:eastAsia="zh"/>
              </w:rPr>
              <w:t>月1日-2026年</w:t>
            </w:r>
            <w:r>
              <w:rPr>
                <w:rFonts w:hint="eastAsia" w:ascii="仿宋" w:hAnsi="仿宋" w:cs="仿宋"/>
                <w:color w:val="333333"/>
              </w:rPr>
              <w:t>10</w:t>
            </w:r>
            <w:r>
              <w:rPr>
                <w:rFonts w:ascii="仿宋" w:hAnsi="仿宋" w:cs="仿宋"/>
                <w:color w:val="333333"/>
                <w:lang w:eastAsia="zh"/>
              </w:rPr>
              <w:t>月31日</w:t>
            </w:r>
          </w:p>
        </w:tc>
        <w:tc>
          <w:tcPr>
            <w:tcW w:w="202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重点任务梳理、项目库建设</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《集团“十五五” 数字化转型规划（征求意见稿）》等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评审完善与成果发布</w:t>
            </w:r>
          </w:p>
        </w:tc>
        <w:tc>
          <w:tcPr>
            <w:tcW w:w="2268"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11</w:t>
            </w:r>
            <w:r>
              <w:rPr>
                <w:rFonts w:ascii="仿宋" w:hAnsi="仿宋" w:cs="仿宋"/>
                <w:color w:val="333333"/>
                <w:lang w:eastAsia="zh"/>
              </w:rPr>
              <w:t>月1日-2026年</w:t>
            </w:r>
            <w:r>
              <w:rPr>
                <w:rFonts w:hint="eastAsia" w:ascii="仿宋" w:hAnsi="仿宋" w:cs="仿宋"/>
                <w:color w:val="333333"/>
              </w:rPr>
              <w:t>11</w:t>
            </w:r>
            <w:r>
              <w:rPr>
                <w:rFonts w:ascii="仿宋" w:hAnsi="仿宋" w:cs="仿宋"/>
                <w:color w:val="333333"/>
                <w:lang w:eastAsia="zh"/>
              </w:rPr>
              <w:t>月30日</w:t>
            </w:r>
          </w:p>
        </w:tc>
        <w:tc>
          <w:tcPr>
            <w:tcW w:w="202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意见征集、专家评审、修改完善</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《集团“十五五” 数字化转型规划（正式稿）》及配套文件等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实施指导与评估</w:t>
            </w:r>
          </w:p>
        </w:tc>
        <w:tc>
          <w:tcPr>
            <w:tcW w:w="2268"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2026年1</w:t>
            </w:r>
            <w:r>
              <w:rPr>
                <w:rFonts w:hint="eastAsia" w:ascii="仿宋" w:hAnsi="仿宋" w:cs="仿宋"/>
                <w:color w:val="333333"/>
              </w:rPr>
              <w:t>2</w:t>
            </w:r>
            <w:r>
              <w:rPr>
                <w:rFonts w:ascii="仿宋" w:hAnsi="仿宋" w:cs="仿宋"/>
                <w:color w:val="333333"/>
                <w:lang w:eastAsia="zh"/>
              </w:rPr>
              <w:t>月1日-2027年</w:t>
            </w:r>
            <w:r>
              <w:rPr>
                <w:rFonts w:hint="eastAsia" w:ascii="仿宋" w:hAnsi="仿宋" w:cs="仿宋"/>
                <w:color w:val="333333"/>
              </w:rPr>
              <w:t>7</w:t>
            </w:r>
            <w:r>
              <w:rPr>
                <w:rFonts w:ascii="仿宋" w:hAnsi="仿宋" w:cs="仿宋"/>
                <w:color w:val="333333"/>
                <w:lang w:eastAsia="zh"/>
              </w:rPr>
              <w:t>月31日</w:t>
            </w:r>
          </w:p>
        </w:tc>
        <w:tc>
          <w:tcPr>
            <w:tcW w:w="202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宣贯培训、落地指导、年度评估</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年度实施评估报告、调整建议等</w:t>
            </w:r>
          </w:p>
        </w:tc>
      </w:tr>
    </w:tbl>
    <w:p>
      <w:pPr>
        <w:keepNext/>
        <w:keepLines/>
        <w:numPr>
          <w:ilvl w:val="1"/>
          <w:numId w:val="8"/>
        </w:numPr>
        <w:adjustRightInd w:val="0"/>
        <w:snapToGrid w:val="0"/>
        <w:spacing w:before="0" w:line="560" w:lineRule="exact"/>
        <w:jc w:val="center"/>
        <w:outlineLvl w:val="3"/>
        <w:rPr>
          <w:rFonts w:hint="eastAsia" w:ascii="等线 Light" w:hAnsi="等线 Light" w:eastAsia="黑体" w:cs="Times New Roman"/>
          <w:b/>
          <w:bCs/>
          <w:sz w:val="28"/>
          <w:szCs w:val="32"/>
        </w:rPr>
      </w:pPr>
      <w:r>
        <w:rPr>
          <w:rFonts w:hint="eastAsia" w:ascii="等线 Light" w:hAnsi="等线 Light" w:eastAsia="黑体" w:cs="Times New Roman"/>
          <w:b/>
          <w:bCs/>
          <w:sz w:val="28"/>
          <w:szCs w:val="32"/>
          <w:lang w:eastAsia="zh"/>
        </w:rPr>
        <w:t>项目总体</w:t>
      </w:r>
      <w:r>
        <w:rPr>
          <w:rFonts w:hint="eastAsia" w:ascii="等线 Light" w:hAnsi="等线 Light" w:eastAsia="黑体" w:cs="Times New Roman"/>
          <w:b/>
          <w:bCs/>
          <w:sz w:val="28"/>
          <w:szCs w:val="32"/>
        </w:rPr>
        <w:t>需求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92"/>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tabs>
                <w:tab w:val="left" w:pos="1766"/>
              </w:tabs>
              <w:jc w:val="center"/>
            </w:pPr>
            <w:r>
              <w:rPr>
                <w:rFonts w:hint="eastAsia"/>
              </w:rPr>
              <w:t>名称</w:t>
            </w:r>
          </w:p>
        </w:tc>
        <w:tc>
          <w:tcPr>
            <w:tcW w:w="992" w:type="dxa"/>
          </w:tcPr>
          <w:p>
            <w:pPr>
              <w:jc w:val="center"/>
            </w:pPr>
            <w:r>
              <w:rPr>
                <w:rFonts w:hint="eastAsia"/>
              </w:rPr>
              <w:t>序号</w:t>
            </w:r>
          </w:p>
        </w:tc>
        <w:tc>
          <w:tcPr>
            <w:tcW w:w="5324" w:type="dxa"/>
          </w:tcPr>
          <w:p>
            <w:pPr>
              <w:jc w:val="center"/>
            </w:pPr>
            <w:r>
              <w:rPr>
                <w:rFonts w:hint="eastAsia"/>
              </w:rPr>
              <w:t>具体内容（包含但不限于）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hint="eastAsia" w:ascii="仿宋" w:hAnsi="仿宋"/>
              </w:rPr>
            </w:pPr>
            <w:r>
              <w:rPr>
                <w:rFonts w:hint="eastAsia" w:ascii="仿宋" w:hAnsi="仿宋"/>
              </w:rPr>
              <w:t>现状诊断、成熟度评估与需求分析</w:t>
            </w:r>
          </w:p>
        </w:tc>
        <w:tc>
          <w:tcPr>
            <w:tcW w:w="992" w:type="dxa"/>
            <w:vAlign w:val="center"/>
          </w:tcPr>
          <w:p>
            <w:pPr>
              <w:jc w:val="center"/>
              <w:rPr>
                <w:rFonts w:hint="eastAsia" w:ascii="仿宋" w:hAnsi="仿宋"/>
              </w:rPr>
            </w:pPr>
            <w:r>
              <w:rPr>
                <w:rFonts w:hint="eastAsia" w:ascii="仿宋" w:hAnsi="仿宋"/>
              </w:rPr>
              <w:t>1</w:t>
            </w:r>
          </w:p>
        </w:tc>
        <w:tc>
          <w:tcPr>
            <w:tcW w:w="5324" w:type="dxa"/>
            <w:vAlign w:val="center"/>
          </w:tcPr>
          <w:p>
            <w:pPr>
              <w:rPr>
                <w:rFonts w:hint="eastAsia" w:ascii="仿宋" w:hAnsi="仿宋"/>
              </w:rPr>
            </w:pPr>
            <w:r>
              <w:rPr>
                <w:rFonts w:hint="eastAsia" w:ascii="仿宋" w:hAnsi="仿宋"/>
              </w:rPr>
              <w:t>开展全领域信息化现状调研与成熟度评估，从业务、系统、数据、基础设施、安全、组织等维度评估“十四五”建设成效，总结经验与短板，并开展同行业对标。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hint="eastAsia" w:ascii="仿宋" w:hAnsi="仿宋"/>
              </w:rPr>
            </w:pPr>
          </w:p>
        </w:tc>
        <w:tc>
          <w:tcPr>
            <w:tcW w:w="992" w:type="dxa"/>
            <w:vAlign w:val="center"/>
          </w:tcPr>
          <w:p>
            <w:pPr>
              <w:jc w:val="center"/>
              <w:rPr>
                <w:rFonts w:hint="eastAsia" w:ascii="仿宋" w:hAnsi="仿宋"/>
              </w:rPr>
            </w:pPr>
            <w:r>
              <w:rPr>
                <w:rFonts w:hint="eastAsia" w:ascii="仿宋" w:hAnsi="仿宋"/>
              </w:rPr>
              <w:t>2</w:t>
            </w:r>
          </w:p>
        </w:tc>
        <w:tc>
          <w:tcPr>
            <w:tcW w:w="5324" w:type="dxa"/>
            <w:vAlign w:val="center"/>
          </w:tcPr>
          <w:p>
            <w:pPr>
              <w:rPr>
                <w:rFonts w:hint="eastAsia" w:ascii="仿宋" w:hAnsi="仿宋"/>
              </w:rPr>
            </w:pPr>
            <w:r>
              <w:rPr>
                <w:rFonts w:hint="eastAsia" w:ascii="仿宋" w:hAnsi="仿宋"/>
              </w:rPr>
              <w:t>梳理集团“十五五”战略对数字化的要求，明确核心业务需求、AI应用场景（含AI+管理、AI+科研、AI原生）、自主可控现状，形成需求分析报告及优先级。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hint="eastAsia" w:ascii="仿宋" w:hAnsi="仿宋"/>
              </w:rPr>
            </w:pPr>
            <w:r>
              <w:rPr>
                <w:rFonts w:hint="eastAsia" w:ascii="仿宋" w:hAnsi="仿宋"/>
              </w:rPr>
              <w:t>数字化转型战略与AI专项规划</w:t>
            </w:r>
          </w:p>
        </w:tc>
        <w:tc>
          <w:tcPr>
            <w:tcW w:w="992" w:type="dxa"/>
            <w:vAlign w:val="center"/>
          </w:tcPr>
          <w:p>
            <w:pPr>
              <w:jc w:val="center"/>
              <w:rPr>
                <w:rFonts w:hint="eastAsia" w:ascii="仿宋" w:hAnsi="仿宋"/>
              </w:rPr>
            </w:pPr>
            <w:r>
              <w:rPr>
                <w:rFonts w:hint="eastAsia" w:ascii="仿宋" w:hAnsi="仿宋"/>
              </w:rPr>
              <w:t>3</w:t>
            </w:r>
          </w:p>
        </w:tc>
        <w:tc>
          <w:tcPr>
            <w:tcW w:w="5324" w:type="dxa"/>
            <w:vAlign w:val="center"/>
          </w:tcPr>
          <w:p>
            <w:pPr>
              <w:rPr>
                <w:rFonts w:hint="eastAsia" w:ascii="仿宋" w:hAnsi="仿宋"/>
              </w:rPr>
            </w:pPr>
            <w:r>
              <w:rPr>
                <w:rFonts w:hint="eastAsia" w:ascii="仿宋" w:hAnsi="仿宋"/>
              </w:rPr>
              <w:t>解读政策与行业趋势，制定“十五五”数字化转型总体战略（含分阶段目标与实施路径），明确与集团总规划的衔接逻辑，提出自主可控实施路线图。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hint="eastAsia" w:ascii="仿宋" w:hAnsi="仿宋"/>
              </w:rPr>
            </w:pPr>
          </w:p>
        </w:tc>
        <w:tc>
          <w:tcPr>
            <w:tcW w:w="992" w:type="dxa"/>
            <w:vAlign w:val="center"/>
          </w:tcPr>
          <w:p>
            <w:pPr>
              <w:jc w:val="center"/>
              <w:rPr>
                <w:rFonts w:hint="eastAsia" w:ascii="仿宋" w:hAnsi="仿宋"/>
              </w:rPr>
            </w:pPr>
            <w:r>
              <w:rPr>
                <w:rFonts w:hint="eastAsia" w:ascii="仿宋" w:hAnsi="仿宋"/>
              </w:rPr>
              <w:t>4</w:t>
            </w:r>
          </w:p>
        </w:tc>
        <w:tc>
          <w:tcPr>
            <w:tcW w:w="5324" w:type="dxa"/>
            <w:vAlign w:val="center"/>
          </w:tcPr>
          <w:p>
            <w:pPr>
              <w:rPr>
                <w:rFonts w:hint="eastAsia" w:ascii="仿宋" w:hAnsi="仿宋"/>
              </w:rPr>
            </w:pPr>
            <w:r>
              <w:rPr>
                <w:rFonts w:hint="eastAsia" w:ascii="仿宋" w:hAnsi="仿宋"/>
              </w:rPr>
              <w:t>形成AI+管理、AI+科研数智化路径及举措，建立一体化数据目录，明确数据资产入表及流通机制，制定总体指导原则。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hint="eastAsia" w:ascii="仿宋" w:hAnsi="仿宋"/>
              </w:rPr>
            </w:pPr>
            <w:r>
              <w:rPr>
                <w:rFonts w:hint="eastAsia" w:ascii="仿宋" w:hAnsi="仿宋"/>
              </w:rPr>
              <w:t>数字化总体架构设计</w:t>
            </w:r>
          </w:p>
        </w:tc>
        <w:tc>
          <w:tcPr>
            <w:tcW w:w="992" w:type="dxa"/>
            <w:vAlign w:val="center"/>
          </w:tcPr>
          <w:p>
            <w:pPr>
              <w:jc w:val="center"/>
              <w:rPr>
                <w:rFonts w:hint="eastAsia" w:ascii="仿宋" w:hAnsi="仿宋"/>
              </w:rPr>
            </w:pPr>
            <w:r>
              <w:rPr>
                <w:rFonts w:hint="eastAsia" w:ascii="仿宋" w:hAnsi="仿宋"/>
              </w:rPr>
              <w:t>5</w:t>
            </w:r>
          </w:p>
        </w:tc>
        <w:tc>
          <w:tcPr>
            <w:tcW w:w="5324" w:type="dxa"/>
            <w:vAlign w:val="center"/>
          </w:tcPr>
          <w:p>
            <w:pPr>
              <w:rPr>
                <w:rFonts w:hint="eastAsia" w:ascii="仿宋" w:hAnsi="仿宋"/>
              </w:rPr>
            </w:pPr>
            <w:r>
              <w:rPr>
                <w:rFonts w:hint="eastAsia" w:ascii="仿宋" w:hAnsi="仿宋"/>
              </w:rPr>
              <w:t>设计“十五五”数字化总体技术架构（业务、应用、数据、技术、系统、安全），明确各架构协同关系及统分建设模式，杜绝烟囱式建设。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hint="eastAsia" w:ascii="仿宋" w:hAnsi="仿宋"/>
              </w:rPr>
            </w:pPr>
          </w:p>
        </w:tc>
        <w:tc>
          <w:tcPr>
            <w:tcW w:w="992" w:type="dxa"/>
            <w:vAlign w:val="center"/>
          </w:tcPr>
          <w:p>
            <w:pPr>
              <w:jc w:val="center"/>
              <w:rPr>
                <w:rFonts w:hint="eastAsia" w:ascii="仿宋" w:hAnsi="仿宋"/>
              </w:rPr>
            </w:pPr>
            <w:r>
              <w:rPr>
                <w:rFonts w:hint="eastAsia" w:ascii="仿宋" w:hAnsi="仿宋"/>
              </w:rPr>
              <w:t>6</w:t>
            </w:r>
          </w:p>
        </w:tc>
        <w:tc>
          <w:tcPr>
            <w:tcW w:w="5324" w:type="dxa"/>
            <w:vAlign w:val="center"/>
          </w:tcPr>
          <w:p>
            <w:pPr>
              <w:rPr>
                <w:rFonts w:hint="eastAsia" w:ascii="仿宋" w:hAnsi="仿宋"/>
              </w:rPr>
            </w:pPr>
            <w:r>
              <w:rPr>
                <w:rFonts w:hint="eastAsia" w:ascii="仿宋" w:hAnsi="仿宋"/>
              </w:rPr>
              <w:t>构建数据资源与人工智能架构，明确AI4S定位、模型策略及算力规划，提出DRP系统实施路径，完善财务数智化、穿透式监管集成方案及安全保障架构。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hint="eastAsia" w:ascii="仿宋" w:hAnsi="仿宋"/>
              </w:rPr>
            </w:pPr>
            <w:r>
              <w:rPr>
                <w:rFonts w:hint="eastAsia" w:ascii="仿宋" w:hAnsi="仿宋"/>
              </w:rPr>
              <w:t>重点任务、项目库与风险应对</w:t>
            </w:r>
          </w:p>
        </w:tc>
        <w:tc>
          <w:tcPr>
            <w:tcW w:w="992" w:type="dxa"/>
            <w:vAlign w:val="center"/>
          </w:tcPr>
          <w:p>
            <w:pPr>
              <w:jc w:val="center"/>
              <w:rPr>
                <w:rFonts w:hint="eastAsia" w:ascii="仿宋" w:hAnsi="仿宋"/>
              </w:rPr>
            </w:pPr>
            <w:r>
              <w:rPr>
                <w:rFonts w:hint="eastAsia" w:ascii="仿宋" w:hAnsi="仿宋"/>
              </w:rPr>
              <w:t>7</w:t>
            </w:r>
          </w:p>
        </w:tc>
        <w:tc>
          <w:tcPr>
            <w:tcW w:w="5324" w:type="dxa"/>
            <w:vAlign w:val="center"/>
          </w:tcPr>
          <w:p>
            <w:pPr>
              <w:rPr>
                <w:rFonts w:hint="eastAsia" w:ascii="仿宋" w:hAnsi="仿宋"/>
              </w:rPr>
            </w:pPr>
            <w:r>
              <w:rPr>
                <w:rFonts w:hint="eastAsia" w:ascii="仿宋" w:hAnsi="仿宋"/>
              </w:rPr>
              <w:t>梳理“十五五”重点任务（数字底座、数据要素、AI赋能、基础设施集约、穿透式监管、自主可控等），明确责任主体、时间节点和考核指标。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hint="eastAsia" w:ascii="仿宋" w:hAnsi="仿宋"/>
              </w:rPr>
            </w:pPr>
          </w:p>
        </w:tc>
        <w:tc>
          <w:tcPr>
            <w:tcW w:w="992" w:type="dxa"/>
            <w:vAlign w:val="center"/>
          </w:tcPr>
          <w:p>
            <w:pPr>
              <w:jc w:val="center"/>
              <w:rPr>
                <w:rFonts w:hint="eastAsia" w:ascii="仿宋" w:hAnsi="仿宋"/>
              </w:rPr>
            </w:pPr>
            <w:r>
              <w:rPr>
                <w:rFonts w:hint="eastAsia" w:ascii="仿宋" w:hAnsi="仿宋"/>
              </w:rPr>
              <w:t>8</w:t>
            </w:r>
          </w:p>
        </w:tc>
        <w:tc>
          <w:tcPr>
            <w:tcW w:w="5324" w:type="dxa"/>
            <w:vAlign w:val="center"/>
          </w:tcPr>
          <w:p>
            <w:pPr>
              <w:rPr>
                <w:rFonts w:hint="eastAsia" w:ascii="仿宋" w:hAnsi="仿宋"/>
              </w:rPr>
            </w:pPr>
            <w:r>
              <w:rPr>
                <w:rFonts w:hint="eastAsia" w:ascii="仿宋" w:hAnsi="仿宋"/>
              </w:rPr>
              <w:t>策划重点项目库（含投资估算、预算区间、年度计划、优先级），明确自主可控迁移计划，识别关键风险（技术、组织、资金、安全）并制定应对措施。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hint="eastAsia" w:ascii="仿宋" w:hAnsi="仿宋"/>
              </w:rPr>
            </w:pPr>
            <w:r>
              <w:rPr>
                <w:rFonts w:hint="eastAsia" w:ascii="仿宋" w:hAnsi="仿宋"/>
              </w:rPr>
              <w:t>实施保障体系</w:t>
            </w:r>
          </w:p>
        </w:tc>
        <w:tc>
          <w:tcPr>
            <w:tcW w:w="992" w:type="dxa"/>
            <w:vAlign w:val="center"/>
          </w:tcPr>
          <w:p>
            <w:pPr>
              <w:jc w:val="center"/>
              <w:rPr>
                <w:rFonts w:hint="eastAsia" w:ascii="仿宋" w:hAnsi="仿宋"/>
              </w:rPr>
            </w:pPr>
            <w:r>
              <w:rPr>
                <w:rFonts w:hint="eastAsia" w:ascii="仿宋" w:hAnsi="仿宋"/>
              </w:rPr>
              <w:t>9</w:t>
            </w:r>
          </w:p>
        </w:tc>
        <w:tc>
          <w:tcPr>
            <w:tcW w:w="5324" w:type="dxa"/>
            <w:vAlign w:val="center"/>
          </w:tcPr>
          <w:p>
            <w:pPr>
              <w:rPr>
                <w:rFonts w:hint="eastAsia" w:ascii="仿宋" w:hAnsi="仿宋"/>
              </w:rPr>
            </w:pPr>
            <w:r>
              <w:rPr>
                <w:rFonts w:hint="eastAsia" w:ascii="仿宋" w:hAnsi="仿宋"/>
              </w:rPr>
              <w:t>设计管理运行机制与六位一体保障体系（组织、制度、资金、人才、安全、生态），明确各部门职责分工。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hint="eastAsia" w:ascii="仿宋" w:hAnsi="仿宋"/>
              </w:rPr>
            </w:pPr>
          </w:p>
        </w:tc>
        <w:tc>
          <w:tcPr>
            <w:tcW w:w="992" w:type="dxa"/>
            <w:vAlign w:val="center"/>
          </w:tcPr>
          <w:p>
            <w:pPr>
              <w:jc w:val="center"/>
              <w:rPr>
                <w:rFonts w:hint="eastAsia" w:ascii="仿宋" w:hAnsi="仿宋"/>
              </w:rPr>
            </w:pPr>
            <w:r>
              <w:rPr>
                <w:rFonts w:hint="eastAsia" w:ascii="仿宋" w:hAnsi="仿宋"/>
              </w:rPr>
              <w:t>10</w:t>
            </w:r>
          </w:p>
        </w:tc>
        <w:tc>
          <w:tcPr>
            <w:tcW w:w="5324" w:type="dxa"/>
            <w:vAlign w:val="center"/>
          </w:tcPr>
          <w:p>
            <w:pPr>
              <w:rPr>
                <w:rFonts w:hint="eastAsia" w:ascii="仿宋" w:hAnsi="仿宋"/>
              </w:rPr>
            </w:pPr>
            <w:r>
              <w:rPr>
                <w:rFonts w:hint="eastAsia" w:ascii="仿宋" w:hAnsi="仿宋"/>
              </w:rPr>
              <w:t>设计项目全生命周期管理机制，建立一体化智能运维体系（核心系统可用率≥99.99%，故障响应≤15分钟，自动化覆盖率≥80%）。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hint="eastAsia" w:ascii="仿宋" w:hAnsi="仿宋"/>
              </w:rPr>
            </w:pPr>
            <w:r>
              <w:rPr>
                <w:rFonts w:hint="eastAsia" w:ascii="仿宋" w:hAnsi="仿宋"/>
              </w:rPr>
              <w:t>规划实施、动态评估与落地指导</w:t>
            </w:r>
          </w:p>
        </w:tc>
        <w:tc>
          <w:tcPr>
            <w:tcW w:w="992" w:type="dxa"/>
            <w:vAlign w:val="center"/>
          </w:tcPr>
          <w:p>
            <w:pPr>
              <w:jc w:val="center"/>
              <w:rPr>
                <w:rFonts w:hint="eastAsia" w:ascii="仿宋" w:hAnsi="仿宋"/>
              </w:rPr>
            </w:pPr>
            <w:r>
              <w:rPr>
                <w:rFonts w:hint="eastAsia" w:ascii="仿宋" w:hAnsi="仿宋"/>
              </w:rPr>
              <w:t>11</w:t>
            </w:r>
          </w:p>
        </w:tc>
        <w:tc>
          <w:tcPr>
            <w:tcW w:w="5324" w:type="dxa"/>
            <w:vAlign w:val="center"/>
          </w:tcPr>
          <w:p>
            <w:pPr>
              <w:rPr>
                <w:rFonts w:hint="eastAsia" w:ascii="仿宋" w:hAnsi="仿宋"/>
              </w:rPr>
            </w:pPr>
            <w:r>
              <w:rPr>
                <w:rFonts w:hint="eastAsia" w:ascii="仿宋" w:hAnsi="仿宋"/>
              </w:rPr>
              <w:t>提供规划宣贯培训，协助年度项目立项及方案设计，为重点项目提供技术咨询和过程指导。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hint="eastAsia" w:ascii="仿宋" w:hAnsi="仿宋"/>
              </w:rPr>
            </w:pPr>
          </w:p>
        </w:tc>
        <w:tc>
          <w:tcPr>
            <w:tcW w:w="992" w:type="dxa"/>
            <w:vAlign w:val="center"/>
          </w:tcPr>
          <w:p>
            <w:pPr>
              <w:jc w:val="center"/>
              <w:rPr>
                <w:rFonts w:hint="eastAsia" w:ascii="仿宋" w:hAnsi="仿宋"/>
              </w:rPr>
            </w:pPr>
            <w:r>
              <w:rPr>
                <w:rFonts w:hint="eastAsia" w:ascii="仿宋" w:hAnsi="仿宋"/>
              </w:rPr>
              <w:t>12</w:t>
            </w:r>
          </w:p>
        </w:tc>
        <w:tc>
          <w:tcPr>
            <w:tcW w:w="5324" w:type="dxa"/>
            <w:vAlign w:val="center"/>
          </w:tcPr>
          <w:p>
            <w:pPr>
              <w:rPr>
                <w:rFonts w:hint="eastAsia" w:ascii="仿宋" w:hAnsi="仿宋"/>
              </w:rPr>
            </w:pPr>
            <w:r>
              <w:rPr>
                <w:rFonts w:hint="eastAsia" w:ascii="仿宋" w:hAnsi="仿宋"/>
              </w:rPr>
              <w:t>在2027、2028、2030年开展规划执行评估，提出修编建议，协助推进项目落地，形成完整版《“十五五”数字化规划》及配套实施材料。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r>
              <w:rPr>
                <w:rFonts w:hint="eastAsia"/>
              </w:rPr>
              <w:t>备注：</w:t>
            </w:r>
          </w:p>
          <w:p>
            <w:r>
              <w:rPr>
                <w:rFonts w:hint="eastAsia"/>
              </w:rPr>
              <w:t>交付物形式：除特别说明外，均以Word/PDF文档形式提交，架构设计需附带Visio或相关源文件。</w:t>
            </w:r>
          </w:p>
          <w:p>
            <w:r>
              <w:rPr>
                <w:rFonts w:hint="eastAsia"/>
              </w:rPr>
              <w:t>验收标准：每个交付物需通过专家评审会，方可视为完成。</w:t>
            </w:r>
          </w:p>
          <w:p>
            <w:r>
              <w:rPr>
                <w:rFonts w:hint="eastAsia"/>
              </w:rPr>
              <w:t>中期汇报：在每个阶段结束时，咨询机构需进行当面汇报，并提交相应交付物的草稿供评审。</w:t>
            </w:r>
          </w:p>
          <w:p>
            <w:r>
              <w:rPr>
                <w:rFonts w:hint="eastAsia"/>
              </w:rPr>
              <w:t>最终整合：第6阶段需将前5个阶段的核心内容凝练成完整的《“十五五”数字化规划》，作为集团正式文件下发。</w:t>
            </w:r>
          </w:p>
        </w:tc>
      </w:tr>
    </w:tbl>
    <w:p>
      <w:pPr>
        <w:keepNext/>
        <w:keepLines/>
        <w:numPr>
          <w:ilvl w:val="1"/>
          <w:numId w:val="8"/>
        </w:numPr>
        <w:adjustRightInd w:val="0"/>
        <w:snapToGrid w:val="0"/>
        <w:spacing w:before="0" w:line="560" w:lineRule="exact"/>
        <w:jc w:val="center"/>
        <w:outlineLvl w:val="3"/>
        <w:rPr>
          <w:rFonts w:hint="eastAsia" w:ascii="等线 Light" w:hAnsi="等线 Light" w:eastAsia="黑体" w:cs="Times New Roman"/>
          <w:b/>
          <w:bCs/>
          <w:sz w:val="28"/>
          <w:szCs w:val="32"/>
        </w:rPr>
      </w:pPr>
      <w:r>
        <w:rPr>
          <w:rFonts w:hint="eastAsia" w:ascii="等线 Light" w:hAnsi="等线 Light" w:eastAsia="黑体" w:cs="Times New Roman"/>
          <w:b/>
          <w:bCs/>
          <w:sz w:val="28"/>
          <w:szCs w:val="32"/>
        </w:rPr>
        <w:t>项目服务要求</w:t>
      </w:r>
    </w:p>
    <w:p>
      <w:pPr>
        <w:keepNext/>
        <w:keepLines/>
        <w:numPr>
          <w:ilvl w:val="2"/>
          <w:numId w:val="9"/>
        </w:numPr>
        <w:adjustRightInd w:val="0"/>
        <w:snapToGrid w:val="0"/>
        <w:spacing w:before="0" w:line="560" w:lineRule="exact"/>
        <w:outlineLvl w:val="4"/>
        <w:rPr>
          <w:rFonts w:ascii="Times New Roman" w:hAnsi="Times New Roman" w:eastAsia="黑体" w:cs="Times New Roman"/>
          <w:b/>
          <w:bCs/>
          <w:sz w:val="28"/>
          <w:szCs w:val="32"/>
        </w:rPr>
      </w:pPr>
      <w:r>
        <w:rPr>
          <w:rFonts w:hint="eastAsia" w:ascii="Times New Roman" w:hAnsi="Times New Roman" w:eastAsia="黑体" w:cs="Times New Roman"/>
          <w:b/>
          <w:bCs/>
          <w:sz w:val="28"/>
          <w:szCs w:val="32"/>
        </w:rPr>
        <w:t>实施组织要求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投标人提供分工明确合理，紧密项目团队成员结构与项目实施组织结构建议。明确项目实施组织内各方、各级人员的工作职责。明确项目实施过程中的管理与协调机制。</w:t>
      </w:r>
    </w:p>
    <w:p>
      <w:pPr>
        <w:keepNext/>
        <w:keepLines/>
        <w:numPr>
          <w:ilvl w:val="2"/>
          <w:numId w:val="9"/>
        </w:numPr>
        <w:adjustRightInd w:val="0"/>
        <w:snapToGrid w:val="0"/>
        <w:spacing w:before="0" w:line="560" w:lineRule="exact"/>
        <w:outlineLvl w:val="4"/>
        <w:rPr>
          <w:rFonts w:ascii="Times New Roman" w:hAnsi="Times New Roman" w:eastAsia="黑体" w:cs="Times New Roman"/>
          <w:b/>
          <w:bCs/>
          <w:sz w:val="28"/>
          <w:szCs w:val="32"/>
        </w:rPr>
      </w:pPr>
      <w:r>
        <w:rPr>
          <w:rFonts w:hint="eastAsia" w:ascii="Times New Roman" w:hAnsi="Times New Roman" w:eastAsia="黑体" w:cs="Times New Roman"/>
          <w:b/>
          <w:bCs/>
          <w:sz w:val="28"/>
          <w:szCs w:val="32"/>
        </w:rPr>
        <w:t>实施质量要求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实施过程必须符合中国国家标准及相关法律法规要求。实施过程中制定相应的质量管理措施，提供培训考核质量管理文档。实施过程中出现的问题及时沟通，并形成问题备忘录，双方签字确认。</w:t>
      </w:r>
    </w:p>
    <w:p>
      <w:pPr>
        <w:keepNext/>
        <w:keepLines/>
        <w:numPr>
          <w:ilvl w:val="2"/>
          <w:numId w:val="9"/>
        </w:numPr>
        <w:adjustRightInd w:val="0"/>
        <w:snapToGrid w:val="0"/>
        <w:spacing w:before="0" w:line="560" w:lineRule="exact"/>
        <w:outlineLvl w:val="4"/>
        <w:rPr>
          <w:rFonts w:ascii="Times New Roman" w:hAnsi="Times New Roman" w:eastAsia="黑体" w:cs="Times New Roman"/>
          <w:b/>
          <w:bCs/>
          <w:sz w:val="28"/>
          <w:szCs w:val="32"/>
        </w:rPr>
      </w:pPr>
      <w:r>
        <w:rPr>
          <w:rFonts w:hint="eastAsia" w:ascii="Times New Roman" w:hAnsi="Times New Roman" w:eastAsia="黑体" w:cs="Times New Roman"/>
          <w:b/>
          <w:bCs/>
          <w:sz w:val="28"/>
          <w:szCs w:val="32"/>
        </w:rPr>
        <w:t>实施进度要求</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根据项目进度的要求，制定切实可行的各项工作进度计划，列明每个阶段对应的交付物。举行定期与不定期会议，实施过程中定期召开会议，监控项目进展，讨论和决策待解决的问题等，遇到特别紧急的问题也可以即时召开临时会议。</w:t>
      </w:r>
    </w:p>
    <w:p>
      <w:pPr>
        <w:keepNext/>
        <w:keepLines/>
        <w:numPr>
          <w:ilvl w:val="2"/>
          <w:numId w:val="9"/>
        </w:numPr>
        <w:adjustRightInd w:val="0"/>
        <w:snapToGrid w:val="0"/>
        <w:spacing w:before="0" w:line="560" w:lineRule="exact"/>
        <w:outlineLvl w:val="4"/>
        <w:rPr>
          <w:rFonts w:ascii="Times New Roman" w:hAnsi="Times New Roman" w:eastAsia="黑体" w:cs="Times New Roman"/>
          <w:b/>
          <w:bCs/>
          <w:sz w:val="28"/>
          <w:szCs w:val="32"/>
        </w:rPr>
      </w:pPr>
      <w:r>
        <w:rPr>
          <w:rFonts w:hint="eastAsia" w:ascii="Times New Roman" w:hAnsi="Times New Roman" w:eastAsia="黑体" w:cs="Times New Roman"/>
          <w:b/>
          <w:bCs/>
          <w:sz w:val="28"/>
          <w:szCs w:val="32"/>
        </w:rPr>
        <w:t>实施培训要求</w:t>
      </w:r>
    </w:p>
    <w:p>
      <w:pPr>
        <w:keepNext/>
        <w:keepLines/>
        <w:adjustRightInd w:val="0"/>
        <w:snapToGrid w:val="0"/>
        <w:spacing w:before="0" w:line="560" w:lineRule="exact"/>
        <w:ind w:firstLine="480" w:firstLineChars="200"/>
        <w:rPr>
          <w:rFonts w:hint="eastAsia" w:ascii="仿宋" w:hAnsi="仿宋" w:cs="仿宋"/>
          <w:lang w:eastAsia="zh"/>
        </w:rPr>
      </w:pPr>
      <w:r>
        <w:rPr>
          <w:rFonts w:ascii="仿宋" w:hAnsi="仿宋" w:cs="仿宋"/>
          <w:lang w:eastAsia="zh"/>
        </w:rPr>
        <w:t>分类分级对集团领导、中层领导及数智化相关人员以线上线下相结合的方式进行项目成果宣贯，让其深刻理解</w:t>
      </w:r>
      <w:r>
        <w:rPr>
          <w:rFonts w:hint="eastAsia" w:ascii="仿宋" w:hAnsi="仿宋" w:cs="仿宋"/>
          <w:lang w:eastAsia="zh"/>
        </w:rPr>
        <w:t>信息化</w:t>
      </w:r>
      <w:r>
        <w:rPr>
          <w:rFonts w:ascii="仿宋" w:hAnsi="仿宋" w:cs="仿宋"/>
          <w:lang w:eastAsia="zh"/>
        </w:rPr>
        <w:t>总体规划的意义与重要性，并掌握</w:t>
      </w:r>
      <w:r>
        <w:rPr>
          <w:rFonts w:hint="eastAsia" w:ascii="仿宋" w:hAnsi="仿宋" w:cs="仿宋"/>
        </w:rPr>
        <w:t>集团</w:t>
      </w:r>
      <w:r>
        <w:rPr>
          <w:rFonts w:hint="eastAsia" w:ascii="仿宋" w:hAnsi="仿宋" w:cs="仿宋"/>
          <w:lang w:eastAsia="zh"/>
        </w:rPr>
        <w:t>信息化</w:t>
      </w:r>
      <w:r>
        <w:rPr>
          <w:rFonts w:ascii="仿宋" w:hAnsi="仿宋" w:cs="仿宋"/>
          <w:lang w:eastAsia="zh"/>
        </w:rPr>
        <w:t>建设</w:t>
      </w:r>
      <w:r>
        <w:rPr>
          <w:rFonts w:hint="eastAsia" w:ascii="仿宋" w:hAnsi="仿宋" w:cs="仿宋"/>
          <w:lang w:eastAsia="zh"/>
        </w:rPr>
        <w:t>、</w:t>
      </w:r>
      <w:r>
        <w:rPr>
          <w:rFonts w:hint="eastAsia" w:ascii="仿宋" w:hAnsi="仿宋" w:cs="仿宋"/>
        </w:rPr>
        <w:t>AI+管理、</w:t>
      </w:r>
      <w:r>
        <w:rPr>
          <w:rFonts w:hint="eastAsia" w:ascii="仿宋" w:hAnsi="仿宋" w:cs="仿宋"/>
          <w:lang w:eastAsia="zh"/>
        </w:rPr>
        <w:t>数智</w:t>
      </w:r>
      <w:r>
        <w:rPr>
          <w:rFonts w:ascii="仿宋" w:hAnsi="仿宋" w:cs="仿宋"/>
          <w:lang w:eastAsia="zh"/>
        </w:rPr>
        <w:t>化转型</w:t>
      </w:r>
      <w:r>
        <w:rPr>
          <w:rFonts w:hint="eastAsia" w:ascii="仿宋" w:hAnsi="仿宋" w:cs="仿宋"/>
          <w:lang w:eastAsia="zh"/>
        </w:rPr>
        <w:t>、穿透式监管、AI+科研深度融合等</w:t>
      </w:r>
      <w:r>
        <w:rPr>
          <w:rFonts w:ascii="仿宋" w:hAnsi="仿宋" w:cs="仿宋"/>
          <w:lang w:eastAsia="zh"/>
        </w:rPr>
        <w:t>工作的基本思路与步骤。</w:t>
      </w:r>
    </w:p>
    <w:p>
      <w:pPr>
        <w:keepNext/>
        <w:keepLines/>
        <w:numPr>
          <w:ilvl w:val="2"/>
          <w:numId w:val="9"/>
        </w:numPr>
        <w:adjustRightInd w:val="0"/>
        <w:snapToGrid w:val="0"/>
        <w:spacing w:before="0" w:line="560" w:lineRule="exact"/>
        <w:outlineLvl w:val="4"/>
        <w:rPr>
          <w:rFonts w:ascii="Times New Roman" w:hAnsi="Times New Roman" w:eastAsia="黑体" w:cs="Times New Roman"/>
          <w:b/>
          <w:bCs/>
          <w:sz w:val="28"/>
          <w:szCs w:val="32"/>
        </w:rPr>
      </w:pPr>
      <w:r>
        <w:rPr>
          <w:rFonts w:hint="eastAsia" w:ascii="Times New Roman" w:hAnsi="Times New Roman" w:eastAsia="黑体" w:cs="Times New Roman"/>
          <w:b/>
          <w:bCs/>
          <w:sz w:val="28"/>
          <w:szCs w:val="32"/>
        </w:rPr>
        <w:t>实施保障</w:t>
      </w:r>
    </w:p>
    <w:p>
      <w:pPr>
        <w:adjustRightInd w:val="0"/>
        <w:snapToGrid w:val="0"/>
        <w:spacing w:before="0" w:line="560" w:lineRule="exact"/>
        <w:ind w:firstLine="480" w:firstLineChars="200"/>
      </w:pPr>
      <w:r>
        <w:rPr>
          <w:rFonts w:hint="eastAsia"/>
        </w:rPr>
        <w:t>（1）要求原厂实施，项目未经允许不得进行转包或分包。</w:t>
      </w:r>
    </w:p>
    <w:p>
      <w:pPr>
        <w:adjustRightInd w:val="0"/>
        <w:snapToGrid w:val="0"/>
        <w:spacing w:before="0" w:line="560" w:lineRule="exact"/>
      </w:pPr>
      <w:r>
        <w:rPr>
          <w:rFonts w:hint="eastAsia"/>
        </w:rPr>
        <w:t xml:space="preserve">    （2）从合同签订到验收合格的实施过程中，乙方应与甲方进行充分的需求交流和技术沟通，而不应仅限于</w:t>
      </w:r>
      <w:r>
        <w:rPr>
          <w:rFonts w:hint="eastAsia"/>
          <w:lang w:eastAsia="zh"/>
        </w:rPr>
        <w:t>本招标文</w:t>
      </w:r>
      <w:r>
        <w:rPr>
          <w:rFonts w:hint="eastAsia"/>
        </w:rPr>
        <w:t>件的条款</w:t>
      </w:r>
      <w:r>
        <w:rPr>
          <w:rFonts w:hint="eastAsia"/>
          <w:lang w:eastAsia="zh"/>
        </w:rPr>
        <w:t>，确保规划实际落地</w:t>
      </w:r>
      <w:r>
        <w:rPr>
          <w:rFonts w:hint="eastAsia"/>
        </w:rPr>
        <w:t>。</w:t>
      </w:r>
    </w:p>
    <w:p>
      <w:pPr>
        <w:pStyle w:val="2"/>
        <w:numPr>
          <w:ilvl w:val="0"/>
          <w:numId w:val="1"/>
        </w:numPr>
        <w:adjustRightInd w:val="0"/>
        <w:snapToGrid w:val="0"/>
        <w:spacing w:before="0" w:beforeLines="0" w:line="560" w:lineRule="exact"/>
        <w:jc w:val="center"/>
        <w:rPr>
          <w:rFonts w:ascii="Times New Roman" w:hAnsi="Times New Roman" w:cs="Times New Roman"/>
        </w:rPr>
      </w:pPr>
      <w:bookmarkStart w:id="21" w:name="_Toc30771"/>
      <w:r>
        <w:rPr>
          <w:rFonts w:hint="eastAsia" w:ascii="Times New Roman" w:hAnsi="Times New Roman" w:cs="Times New Roman"/>
        </w:rPr>
        <w:t xml:space="preserve"> </w:t>
      </w:r>
      <w:bookmarkStart w:id="22" w:name="_Toc638666376"/>
      <w:bookmarkStart w:id="23" w:name="_Toc4558"/>
      <w:r>
        <w:rPr>
          <w:rFonts w:hint="eastAsia" w:ascii="Times New Roman" w:hAnsi="Times New Roman" w:cs="Times New Roman"/>
        </w:rPr>
        <w:t>投标文件格式</w:t>
      </w:r>
      <w:bookmarkEnd w:id="21"/>
      <w:bookmarkEnd w:id="22"/>
      <w:bookmarkEnd w:id="23"/>
    </w:p>
    <w:p>
      <w:pPr>
        <w:numPr>
          <w:ilvl w:val="0"/>
          <w:numId w:val="10"/>
        </w:numPr>
        <w:adjustRightInd w:val="0"/>
        <w:snapToGrid w:val="0"/>
        <w:spacing w:before="0" w:line="560" w:lineRule="exact"/>
        <w:jc w:val="left"/>
        <w:outlineLvl w:val="3"/>
        <w:rPr>
          <w:rFonts w:hint="eastAsia" w:ascii="仿宋" w:hAnsi="仿宋" w:cs="仿宋"/>
          <w:b/>
        </w:rPr>
      </w:pPr>
      <w:bookmarkStart w:id="24" w:name="_Toc18157159"/>
      <w:bookmarkStart w:id="25" w:name="_Toc11770288"/>
      <w:bookmarkStart w:id="26" w:name="_Toc18157076"/>
      <w:r>
        <w:rPr>
          <w:rFonts w:hint="eastAsia" w:ascii="仿宋" w:hAnsi="仿宋" w:cs="仿宋"/>
          <w:b/>
        </w:rPr>
        <w:t>投标报价文件封面</w:t>
      </w:r>
    </w:p>
    <w:p>
      <w:pPr>
        <w:tabs>
          <w:tab w:val="left" w:pos="2940"/>
        </w:tabs>
        <w:adjustRightInd w:val="0"/>
        <w:snapToGrid w:val="0"/>
        <w:spacing w:before="0" w:line="560" w:lineRule="exact"/>
        <w:ind w:firstLine="482" w:firstLineChars="200"/>
        <w:jc w:val="left"/>
        <w:rPr>
          <w:rFonts w:hint="eastAsia" w:ascii="仿宋" w:hAnsi="仿宋" w:cs="仿宋"/>
          <w:b/>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360"/>
        <w:jc w:val="center"/>
        <w:rPr>
          <w:rFonts w:hint="eastAsia" w:ascii="等线 Light" w:hAnsi="等线 Light" w:eastAsia="黑体" w:cs="Times New Roman"/>
          <w:b/>
          <w:bCs/>
          <w:sz w:val="44"/>
          <w:szCs w:val="32"/>
        </w:rPr>
      </w:pPr>
      <w:r>
        <w:rPr>
          <w:rFonts w:hint="eastAsia" w:ascii="等线 Light" w:hAnsi="等线 Light" w:eastAsia="黑体" w:cs="Times New Roman"/>
          <w:b/>
          <w:bCs/>
          <w:sz w:val="44"/>
          <w:szCs w:val="32"/>
        </w:rPr>
        <w:t>中国机械总院“十五五”网络安全和信息化规划编制服务项目</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jc w:val="center"/>
        <w:rPr>
          <w:rFonts w:hint="eastAsia" w:ascii="等线 Light" w:hAnsi="等线 Light" w:eastAsia="黑体" w:cs="Times New Roman"/>
          <w:b/>
          <w:bCs/>
          <w:sz w:val="44"/>
          <w:szCs w:val="32"/>
        </w:rPr>
      </w:pPr>
      <w:r>
        <w:rPr>
          <w:rFonts w:hint="eastAsia" w:ascii="等线 Light" w:hAnsi="等线 Light" w:eastAsia="黑体" w:cs="Times New Roman"/>
          <w:b/>
          <w:bCs/>
          <w:sz w:val="44"/>
          <w:szCs w:val="32"/>
        </w:rPr>
        <w:t>投标报价文件</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1928" w:firstLineChars="800"/>
        <w:jc w:val="left"/>
        <w:rPr>
          <w:rFonts w:hint="eastAsia" w:ascii="宋体" w:hAnsi="宋体" w:eastAsia="宋体" w:cs="宋体"/>
          <w:u w:val="single"/>
        </w:rPr>
      </w:pPr>
      <w:r>
        <w:rPr>
          <w:rFonts w:ascii="宋体" w:hAnsi="宋体" w:eastAsia="宋体" w:cs="宋体"/>
          <w:b/>
        </w:rPr>
        <w:t>投 标 人：</w:t>
      </w:r>
      <w:r>
        <w:rPr>
          <w:rFonts w:ascii="宋体" w:hAnsi="宋体" w:eastAsia="宋体" w:cs="宋体"/>
          <w:u w:val="single"/>
        </w:rPr>
        <w:t xml:space="preserve">                     （盖公章）</w:t>
      </w:r>
    </w:p>
    <w:p>
      <w:pPr>
        <w:adjustRightInd w:val="0"/>
        <w:snapToGrid w:val="0"/>
        <w:spacing w:before="0" w:line="560" w:lineRule="exact"/>
        <w:ind w:firstLine="1928" w:firstLineChars="800"/>
        <w:jc w:val="left"/>
        <w:rPr>
          <w:rFonts w:hint="eastAsia" w:ascii="宋体" w:hAnsi="宋体" w:eastAsia="宋体" w:cs="宋体"/>
          <w:b/>
        </w:rPr>
      </w:pPr>
      <w:r>
        <w:rPr>
          <w:rFonts w:ascii="宋体" w:hAnsi="宋体" w:eastAsia="宋体" w:cs="宋体"/>
          <w:b/>
        </w:rPr>
        <w:t>法定代表人或</w:t>
      </w:r>
      <w:r>
        <w:rPr>
          <w:rFonts w:hint="eastAsia" w:ascii="宋体" w:hAnsi="宋体" w:eastAsia="宋体" w:cs="宋体"/>
          <w:b/>
        </w:rPr>
        <w:t>授权代表</w:t>
      </w:r>
      <w:r>
        <w:rPr>
          <w:rFonts w:ascii="宋体" w:hAnsi="宋体" w:eastAsia="宋体" w:cs="宋体"/>
          <w:b/>
        </w:rPr>
        <w:t>：</w:t>
      </w:r>
      <w:r>
        <w:rPr>
          <w:rFonts w:ascii="宋体" w:hAnsi="宋体" w:eastAsia="宋体" w:cs="宋体"/>
          <w:b/>
          <w:u w:val="single"/>
        </w:rPr>
        <w:t xml:space="preserve">           </w:t>
      </w:r>
      <w:r>
        <w:rPr>
          <w:rFonts w:ascii="宋体" w:hAnsi="宋体" w:eastAsia="宋体" w:cs="宋体"/>
          <w:u w:val="single"/>
        </w:rPr>
        <w:t>（签字）</w:t>
      </w:r>
    </w:p>
    <w:p>
      <w:pPr>
        <w:adjustRightInd w:val="0"/>
        <w:snapToGrid w:val="0"/>
        <w:spacing w:before="0" w:line="560" w:lineRule="exact"/>
        <w:ind w:firstLine="1928" w:firstLineChars="800"/>
        <w:jc w:val="left"/>
        <w:rPr>
          <w:rFonts w:hint="eastAsia" w:ascii="宋体" w:hAnsi="宋体" w:eastAsia="宋体" w:cs="宋体"/>
          <w:b/>
        </w:rPr>
      </w:pPr>
      <w:r>
        <w:rPr>
          <w:rFonts w:ascii="宋体" w:hAnsi="宋体" w:eastAsia="宋体" w:cs="宋体"/>
          <w:b/>
        </w:rPr>
        <w:t>日期：202</w:t>
      </w:r>
      <w:r>
        <w:rPr>
          <w:rFonts w:hint="eastAsia" w:ascii="宋体" w:hAnsi="宋体" w:eastAsia="宋体" w:cs="宋体"/>
          <w:b/>
        </w:rPr>
        <w:t>6</w:t>
      </w:r>
      <w:r>
        <w:rPr>
          <w:rFonts w:ascii="宋体" w:hAnsi="宋体" w:eastAsia="宋体" w:cs="宋体"/>
          <w:b/>
        </w:rPr>
        <w:t>年_____月_____日</w:t>
      </w: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目录</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jc w:val="center"/>
        <w:rPr>
          <w:rFonts w:hint="eastAsia" w:ascii="仿宋" w:hAnsi="仿宋" w:cs="仿宋"/>
        </w:rPr>
      </w:pPr>
      <w:r>
        <w:rPr>
          <w:rFonts w:hint="eastAsia" w:ascii="仿宋" w:hAnsi="仿宋" w:cs="仿宋"/>
        </w:rPr>
        <w:t>格式自拟</w:t>
      </w:r>
    </w:p>
    <w:p>
      <w:pPr>
        <w:widowControl/>
        <w:adjustRightInd w:val="0"/>
        <w:snapToGrid w:val="0"/>
        <w:spacing w:before="0" w:line="560" w:lineRule="exact"/>
        <w:jc w:val="left"/>
        <w:rPr>
          <w:rFonts w:hint="eastAsia" w:ascii="仿宋" w:hAnsi="仿宋" w:cs="仿宋"/>
        </w:rPr>
      </w:pPr>
      <w:r>
        <w:rPr>
          <w:rFonts w:hint="eastAsia" w:ascii="仿宋" w:hAnsi="仿宋" w:cs="仿宋"/>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投标一览表</w:t>
      </w:r>
    </w:p>
    <w:p>
      <w:pPr>
        <w:adjustRightInd w:val="0"/>
        <w:snapToGrid w:val="0"/>
        <w:spacing w:before="0" w:line="560" w:lineRule="exact"/>
        <w:ind w:firstLine="45" w:firstLineChars="14"/>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投标一览表</w:t>
      </w:r>
    </w:p>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投标人名称：</w:t>
      </w:r>
      <w:bookmarkStart w:id="27" w:name="_Hlk174957948"/>
      <w:r>
        <w:rPr>
          <w:rFonts w:hint="eastAsia" w:ascii="宋体" w:hAnsi="宋体" w:eastAsia="宋体" w:cs="仿宋"/>
          <w:szCs w:val="21"/>
        </w:rPr>
        <w:t xml:space="preserve">                         </w:t>
      </w:r>
      <w:bookmarkEnd w:id="27"/>
      <w:r>
        <w:rPr>
          <w:rFonts w:hint="eastAsia" w:ascii="宋体" w:hAnsi="宋体" w:eastAsia="宋体" w:cs="仿宋"/>
          <w:szCs w:val="21"/>
        </w:rPr>
        <w:t xml:space="preserve">招标编号：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330"/>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序号</w:t>
            </w:r>
          </w:p>
        </w:tc>
        <w:tc>
          <w:tcPr>
            <w:tcW w:w="2330" w:type="dxa"/>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项目名称</w:t>
            </w: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报价（万元）</w:t>
            </w: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交货期</w:t>
            </w:r>
          </w:p>
        </w:tc>
        <w:tc>
          <w:tcPr>
            <w:tcW w:w="1660" w:type="dxa"/>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2330"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60" w:type="dxa"/>
          </w:tcPr>
          <w:p>
            <w:pPr>
              <w:adjustRightInd w:val="0"/>
              <w:snapToGrid w:val="0"/>
              <w:spacing w:before="0" w:line="560" w:lineRule="exact"/>
              <w:ind w:firstLine="33" w:firstLineChars="14"/>
              <w:jc w:val="left"/>
              <w:rPr>
                <w:rFonts w:hint="eastAsia"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2330"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60" w:type="dxa"/>
          </w:tcPr>
          <w:p>
            <w:pPr>
              <w:adjustRightInd w:val="0"/>
              <w:snapToGrid w:val="0"/>
              <w:spacing w:before="0" w:line="560" w:lineRule="exact"/>
              <w:ind w:firstLine="33" w:firstLineChars="14"/>
              <w:jc w:val="left"/>
              <w:rPr>
                <w:rFonts w:hint="eastAsia" w:ascii="宋体" w:hAnsi="宋体" w:eastAsia="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2330" w:type="dxa"/>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合计</w:t>
            </w: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59" w:type="dxa"/>
          </w:tcPr>
          <w:p>
            <w:pPr>
              <w:adjustRightInd w:val="0"/>
              <w:snapToGrid w:val="0"/>
              <w:spacing w:before="0" w:line="560" w:lineRule="exact"/>
              <w:ind w:firstLine="33" w:firstLineChars="14"/>
              <w:jc w:val="left"/>
              <w:rPr>
                <w:rFonts w:hint="eastAsia" w:ascii="宋体" w:hAnsi="宋体" w:eastAsia="宋体" w:cs="仿宋"/>
                <w:szCs w:val="21"/>
              </w:rPr>
            </w:pPr>
          </w:p>
        </w:tc>
        <w:tc>
          <w:tcPr>
            <w:tcW w:w="1660" w:type="dxa"/>
          </w:tcPr>
          <w:p>
            <w:pPr>
              <w:adjustRightInd w:val="0"/>
              <w:snapToGrid w:val="0"/>
              <w:spacing w:before="0" w:line="560" w:lineRule="exact"/>
              <w:ind w:firstLine="33" w:firstLineChars="14"/>
              <w:jc w:val="left"/>
              <w:rPr>
                <w:rFonts w:hint="eastAsia" w:ascii="宋体" w:hAnsi="宋体" w:eastAsia="宋体" w:cs="仿宋"/>
                <w:szCs w:val="21"/>
              </w:rPr>
            </w:pPr>
          </w:p>
        </w:tc>
      </w:tr>
    </w:tbl>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注：本表应按“投标人须知”的规定密封单独提交。</w:t>
      </w:r>
    </w:p>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投标人名称：（单位公章）</w:t>
      </w:r>
    </w:p>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法定代表人或授权代表：（签字）</w:t>
      </w:r>
    </w:p>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日期：   年 月 日</w:t>
      </w:r>
    </w:p>
    <w:p>
      <w:pPr>
        <w:adjustRightInd w:val="0"/>
        <w:snapToGrid w:val="0"/>
        <w:spacing w:before="0" w:line="560" w:lineRule="exact"/>
        <w:ind w:firstLine="33" w:firstLineChars="14"/>
        <w:jc w:val="left"/>
        <w:rPr>
          <w:rFonts w:hint="eastAsia" w:ascii="宋体" w:hAnsi="宋体" w:eastAsia="宋体" w:cs="仿宋"/>
          <w:szCs w:val="21"/>
        </w:rPr>
      </w:pPr>
    </w:p>
    <w:p>
      <w:pPr>
        <w:widowControl/>
        <w:adjustRightInd w:val="0"/>
        <w:snapToGrid w:val="0"/>
        <w:spacing w:before="0" w:line="560" w:lineRule="exact"/>
        <w:jc w:val="left"/>
        <w:rPr>
          <w:rFonts w:hint="eastAsia" w:ascii="仿宋" w:hAnsi="仿宋" w:cs="仿宋"/>
        </w:rPr>
      </w:pPr>
      <w:r>
        <w:rPr>
          <w:rFonts w:hint="eastAsia" w:ascii="仿宋" w:hAnsi="仿宋" w:cs="仿宋"/>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商务技术文件封面</w:t>
      </w:r>
    </w:p>
    <w:p>
      <w:pPr>
        <w:tabs>
          <w:tab w:val="left" w:pos="2940"/>
        </w:tabs>
        <w:adjustRightInd w:val="0"/>
        <w:snapToGrid w:val="0"/>
        <w:spacing w:before="0" w:line="560" w:lineRule="exact"/>
        <w:ind w:firstLine="482" w:firstLineChars="200"/>
        <w:jc w:val="left"/>
        <w:rPr>
          <w:rFonts w:hint="eastAsia" w:ascii="仿宋" w:hAnsi="仿宋" w:cs="仿宋"/>
          <w:b/>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360"/>
        <w:jc w:val="center"/>
        <w:rPr>
          <w:rFonts w:hint="eastAsia" w:ascii="等线 Light" w:hAnsi="等线 Light" w:eastAsia="黑体" w:cs="Times New Roman"/>
          <w:b/>
          <w:bCs/>
          <w:sz w:val="44"/>
          <w:szCs w:val="32"/>
        </w:rPr>
      </w:pPr>
      <w:r>
        <w:rPr>
          <w:rFonts w:hint="eastAsia" w:ascii="等线 Light" w:hAnsi="等线 Light" w:eastAsia="黑体" w:cs="Times New Roman"/>
          <w:b/>
          <w:bCs/>
          <w:sz w:val="44"/>
          <w:szCs w:val="32"/>
        </w:rPr>
        <w:t>XXXX项目</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jc w:val="center"/>
        <w:rPr>
          <w:rFonts w:hint="eastAsia" w:ascii="等线 Light" w:hAnsi="等线 Light" w:eastAsia="黑体" w:cs="Times New Roman"/>
          <w:b/>
          <w:bCs/>
          <w:sz w:val="44"/>
          <w:szCs w:val="32"/>
        </w:rPr>
      </w:pPr>
      <w:r>
        <w:rPr>
          <w:rFonts w:hint="eastAsia" w:ascii="等线 Light" w:hAnsi="等线 Light" w:eastAsia="黑体" w:cs="Times New Roman"/>
          <w:b/>
          <w:bCs/>
          <w:sz w:val="44"/>
          <w:szCs w:val="32"/>
        </w:rPr>
        <w:t>商务技术文件</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1928" w:firstLineChars="800"/>
        <w:jc w:val="left"/>
        <w:rPr>
          <w:rFonts w:hint="eastAsia" w:ascii="宋体" w:hAnsi="宋体" w:eastAsia="宋体" w:cs="宋体"/>
          <w:u w:val="single"/>
        </w:rPr>
      </w:pPr>
      <w:r>
        <w:rPr>
          <w:rFonts w:ascii="宋体" w:hAnsi="宋体" w:eastAsia="宋体" w:cs="宋体"/>
          <w:b/>
        </w:rPr>
        <w:t>投 标 人：</w:t>
      </w:r>
      <w:r>
        <w:rPr>
          <w:rFonts w:ascii="宋体" w:hAnsi="宋体" w:eastAsia="宋体" w:cs="宋体"/>
          <w:u w:val="single"/>
        </w:rPr>
        <w:t xml:space="preserve">                     （盖公章）</w:t>
      </w:r>
    </w:p>
    <w:p>
      <w:pPr>
        <w:adjustRightInd w:val="0"/>
        <w:snapToGrid w:val="0"/>
        <w:spacing w:before="0" w:line="560" w:lineRule="exact"/>
        <w:ind w:firstLine="1928" w:firstLineChars="800"/>
        <w:jc w:val="left"/>
        <w:rPr>
          <w:rFonts w:hint="eastAsia" w:ascii="宋体" w:hAnsi="宋体" w:eastAsia="宋体" w:cs="宋体"/>
          <w:b/>
        </w:rPr>
      </w:pPr>
      <w:r>
        <w:rPr>
          <w:rFonts w:ascii="宋体" w:hAnsi="宋体" w:eastAsia="宋体" w:cs="宋体"/>
          <w:b/>
        </w:rPr>
        <w:t>法定代表人或</w:t>
      </w:r>
      <w:r>
        <w:rPr>
          <w:rFonts w:hint="eastAsia" w:ascii="宋体" w:hAnsi="宋体" w:eastAsia="宋体" w:cs="宋体"/>
          <w:b/>
        </w:rPr>
        <w:t>授权代表</w:t>
      </w:r>
      <w:r>
        <w:rPr>
          <w:rFonts w:ascii="宋体" w:hAnsi="宋体" w:eastAsia="宋体" w:cs="宋体"/>
          <w:b/>
        </w:rPr>
        <w:t>：</w:t>
      </w:r>
      <w:r>
        <w:rPr>
          <w:rFonts w:ascii="宋体" w:hAnsi="宋体" w:eastAsia="宋体" w:cs="宋体"/>
          <w:b/>
          <w:u w:val="single"/>
        </w:rPr>
        <w:t xml:space="preserve">           </w:t>
      </w:r>
      <w:r>
        <w:rPr>
          <w:rFonts w:ascii="宋体" w:hAnsi="宋体" w:eastAsia="宋体" w:cs="宋体"/>
          <w:u w:val="single"/>
        </w:rPr>
        <w:t>（签字）</w:t>
      </w:r>
    </w:p>
    <w:p>
      <w:pPr>
        <w:adjustRightInd w:val="0"/>
        <w:snapToGrid w:val="0"/>
        <w:spacing w:before="0" w:line="560" w:lineRule="exact"/>
        <w:ind w:firstLine="1928" w:firstLineChars="800"/>
        <w:jc w:val="left"/>
        <w:rPr>
          <w:rFonts w:hint="eastAsia" w:ascii="宋体" w:hAnsi="宋体" w:eastAsia="宋体" w:cs="宋体"/>
          <w:b/>
        </w:rPr>
      </w:pPr>
      <w:r>
        <w:rPr>
          <w:rFonts w:ascii="宋体" w:hAnsi="宋体" w:eastAsia="宋体" w:cs="宋体"/>
          <w:b/>
        </w:rPr>
        <w:t>日期：</w:t>
      </w:r>
      <w:r>
        <w:rPr>
          <w:rFonts w:hint="eastAsia" w:ascii="宋体" w:hAnsi="宋体" w:eastAsia="宋体" w:cs="宋体"/>
          <w:b/>
          <w:u w:val="single"/>
        </w:rPr>
        <w:t xml:space="preserve">    </w:t>
      </w:r>
      <w:r>
        <w:rPr>
          <w:rFonts w:ascii="宋体" w:hAnsi="宋体" w:eastAsia="宋体" w:cs="宋体"/>
          <w:b/>
        </w:rPr>
        <w:t>年_____月_____日</w:t>
      </w:r>
    </w:p>
    <w:p>
      <w:pPr>
        <w:widowControl/>
        <w:adjustRightInd w:val="0"/>
        <w:snapToGrid w:val="0"/>
        <w:spacing w:before="0" w:line="560" w:lineRule="exact"/>
        <w:jc w:val="left"/>
        <w:rPr>
          <w:rFonts w:hint="eastAsia" w:ascii="仿宋" w:hAnsi="仿宋" w:cs="仿宋"/>
        </w:rPr>
      </w:pPr>
      <w:r>
        <w:rPr>
          <w:rFonts w:hint="eastAsia" w:ascii="仿宋" w:hAnsi="仿宋" w:cs="仿宋"/>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投标函</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投标函</w:t>
      </w:r>
    </w:p>
    <w:p>
      <w:pPr>
        <w:adjustRightInd w:val="0"/>
        <w:snapToGrid w:val="0"/>
        <w:spacing w:before="0" w:line="560" w:lineRule="exact"/>
        <w:jc w:val="left"/>
        <w:rPr>
          <w:rFonts w:hint="eastAsia" w:ascii="仿宋" w:hAnsi="仿宋" w:cs="仿宋"/>
        </w:rPr>
      </w:pPr>
      <w:r>
        <w:rPr>
          <w:rFonts w:hint="eastAsia" w:ascii="仿宋" w:hAnsi="仿宋" w:cs="仿宋"/>
        </w:rPr>
        <w:t>致：中国机械科学研究总院集团有限公司</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我方全面研究了中国机械总院“十五五”网络安全和信息化规划编制服务项目</w:t>
      </w:r>
      <w:r>
        <w:rPr>
          <w:rFonts w:ascii="仿宋" w:hAnsi="仿宋" w:cs="仿宋"/>
        </w:rPr>
        <w:t>招标文件，决定参加贵公司组织的本项目投标。我方授权</w:t>
      </w:r>
      <w:r>
        <w:rPr>
          <w:rFonts w:hint="eastAsia" w:ascii="仿宋" w:hAnsi="仿宋" w:cs="仿宋"/>
          <w:u w:val="single"/>
        </w:rPr>
        <w:t xml:space="preserve">            </w:t>
      </w:r>
      <w:r>
        <w:rPr>
          <w:rFonts w:ascii="仿宋" w:hAnsi="仿宋" w:cs="仿宋"/>
        </w:rPr>
        <w:t>（姓名、职务）代表我方</w:t>
      </w:r>
      <w:r>
        <w:rPr>
          <w:rFonts w:hint="eastAsia" w:ascii="仿宋" w:hAnsi="仿宋" w:cs="仿宋"/>
          <w:u w:val="single"/>
        </w:rPr>
        <w:t xml:space="preserve">                                                </w:t>
      </w:r>
      <w:r>
        <w:rPr>
          <w:rFonts w:ascii="仿宋" w:hAnsi="仿宋" w:cs="仿宋"/>
        </w:rPr>
        <w:t>（投标单位的名称）全权处理本项目投标的有关事宜。</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一、我方自愿按照招标文件规定的各项要求向采购人提供所需货物及服务</w:t>
      </w:r>
      <w:r>
        <w:rPr>
          <w:rFonts w:ascii="仿宋" w:hAnsi="仿宋" w:cs="仿宋"/>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二、一旦我方中标，我方将严格履行采购合同规定的责任和义务。</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三、我方同意本招标文件依据采购方相关制度规定对我方可能存在的失信行为进行的惩戒。</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四、我方为本项目提交的投标文件正本1份，副本2份，电子版本一份。</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五、我方同意本次招标的投标有效期为</w:t>
      </w:r>
      <w:r>
        <w:rPr>
          <w:rFonts w:ascii="仿宋" w:hAnsi="仿宋" w:cs="仿宋"/>
        </w:rPr>
        <w:t>90天，我公司同意所提交的投标文件，在投标有效期内一直有效。</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六、我方愿意提供贵公司可能另外要求的，与投标有关的文件资料，并保证我方已提供和将要提供的文件资料是真实、准确的。</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投标人名称：</w:t>
      </w:r>
      <w:r>
        <w:rPr>
          <w:rFonts w:hint="eastAsia" w:ascii="仿宋" w:hAnsi="仿宋" w:cs="仿宋"/>
          <w:u w:val="single"/>
        </w:rPr>
        <w:t xml:space="preserve">                         </w:t>
      </w:r>
      <w:r>
        <w:rPr>
          <w:rFonts w:ascii="仿宋" w:hAnsi="仿宋" w:cs="仿宋"/>
        </w:rPr>
        <w:t>（单位公章）</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法定代表人或授权代表（签字）：</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通讯地址：</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邮政编码：</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联系电话：</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传</w:t>
      </w:r>
      <w:r>
        <w:rPr>
          <w:rFonts w:ascii="仿宋" w:hAnsi="仿宋" w:cs="仿宋"/>
        </w:rPr>
        <w:t xml:space="preserve">    真：</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日</w:t>
      </w:r>
      <w:r>
        <w:rPr>
          <w:rFonts w:ascii="仿宋" w:hAnsi="仿宋" w:cs="仿宋"/>
        </w:rPr>
        <w:t xml:space="preserve">    期：</w:t>
      </w:r>
      <w:r>
        <w:rPr>
          <w:rFonts w:hint="eastAsia" w:ascii="仿宋" w:hAnsi="仿宋" w:cs="仿宋"/>
          <w:u w:val="single"/>
        </w:rPr>
        <w:t xml:space="preserve">                        </w:t>
      </w:r>
    </w:p>
    <w:p>
      <w:pPr>
        <w:numPr>
          <w:ilvl w:val="0"/>
          <w:numId w:val="10"/>
        </w:numPr>
        <w:adjustRightInd w:val="0"/>
        <w:snapToGrid w:val="0"/>
        <w:spacing w:before="0" w:line="560" w:lineRule="exact"/>
        <w:jc w:val="left"/>
        <w:outlineLvl w:val="3"/>
        <w:rPr>
          <w:rFonts w:hint="eastAsia" w:ascii="仿宋" w:hAnsi="仿宋" w:cs="仿宋"/>
          <w:b/>
        </w:rPr>
      </w:pPr>
      <w:r>
        <w:rPr>
          <w:rFonts w:ascii="仿宋" w:hAnsi="仿宋" w:cs="仿宋"/>
          <w:b/>
        </w:rPr>
        <w:br w:type="page"/>
      </w:r>
      <w:r>
        <w:rPr>
          <w:rFonts w:hint="eastAsia" w:ascii="仿宋" w:hAnsi="仿宋" w:cs="仿宋"/>
          <w:b/>
        </w:rPr>
        <w:t>承诺函</w:t>
      </w:r>
    </w:p>
    <w:p>
      <w:pPr>
        <w:adjustRightInd w:val="0"/>
        <w:snapToGrid w:val="0"/>
        <w:spacing w:before="0" w:line="560" w:lineRule="exact"/>
        <w:jc w:val="center"/>
        <w:rPr>
          <w:rFonts w:hint="eastAsia" w:ascii="仿宋" w:hAnsi="等线" w:eastAsia="黑体" w:cs="Times New Roman"/>
          <w:bCs/>
          <w:kern w:val="28"/>
          <w:sz w:val="32"/>
          <w:szCs w:val="32"/>
        </w:rPr>
      </w:pPr>
      <w:r>
        <w:rPr>
          <w:rFonts w:hint="eastAsia" w:ascii="等线" w:hAnsi="等线" w:eastAsia="黑体" w:cs="Times New Roman"/>
          <w:b/>
          <w:bCs/>
          <w:kern w:val="28"/>
          <w:sz w:val="32"/>
          <w:szCs w:val="32"/>
        </w:rPr>
        <w:t>二、承诺函</w:t>
      </w:r>
      <w:bookmarkEnd w:id="24"/>
      <w:bookmarkEnd w:id="25"/>
      <w:bookmarkEnd w:id="26"/>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中国机械科学研究总院集团有限公司：</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我公司作为本次采购项目的投标人，根据招标文件要求，现郑重承诺如下：</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一、具备本项目规定的条件：</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（一）具有独立承担民事责任的能力；</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（二）具有良好的商业信誉，</w:t>
      </w:r>
      <w:r>
        <w:rPr>
          <w:rFonts w:hint="eastAsia" w:ascii="仿宋" w:hAnsi="仿宋" w:cs="仿宋"/>
        </w:rPr>
        <w:t>在最近三年内没有骗取中标、严重违约，所供应产品和服务未发生重大及以上责任事故。没有处于被责令停业，被暂停或投标资格被取消的情况。未发生借取他人或向他人出借资质或业绩的情况</w:t>
      </w:r>
      <w:r>
        <w:rPr>
          <w:rFonts w:hint="eastAsia" w:ascii="宋体" w:hAnsi="仿宋" w:cs="仿宋"/>
        </w:rPr>
        <w:t>；</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（三）</w:t>
      </w:r>
      <w:r>
        <w:rPr>
          <w:rFonts w:ascii="仿宋" w:hAnsi="仿宋" w:cs="仿宋"/>
        </w:rPr>
        <w:t>近三年财务和资信状况良好。没有财产被接管冻结，或亏损处于破产状况</w:t>
      </w:r>
      <w:r>
        <w:rPr>
          <w:rFonts w:hint="eastAsia" w:ascii="宋体" w:hAnsi="仿宋" w:cs="仿宋"/>
        </w:rPr>
        <w:t>；</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（四）参加本次采购活动前三年内，在经营活动中没有重大违法记录；</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（五）法律、行政法规规定的其他条件；</w:t>
      </w:r>
    </w:p>
    <w:p>
      <w:pPr>
        <w:adjustRightInd w:val="0"/>
        <w:snapToGrid w:val="0"/>
        <w:spacing w:before="0" w:line="560" w:lineRule="exact"/>
        <w:ind w:firstLine="480" w:firstLineChars="200"/>
        <w:jc w:val="left"/>
        <w:rPr>
          <w:rFonts w:hint="eastAsia" w:ascii="仿宋" w:hAnsi="仿宋" w:cs="仿宋"/>
        </w:rPr>
      </w:pPr>
      <w:r>
        <w:rPr>
          <w:rFonts w:hint="eastAsia" w:ascii="宋体" w:hAnsi="仿宋" w:cs="仿宋"/>
        </w:rPr>
        <w:t>（六）</w:t>
      </w:r>
      <w:r>
        <w:rPr>
          <w:rFonts w:hint="eastAsia" w:ascii="仿宋" w:hAnsi="仿宋" w:cs="仿宋"/>
        </w:rPr>
        <w:t>根据采购项目提出的特殊条件</w:t>
      </w:r>
      <w:r>
        <w:rPr>
          <w:rFonts w:ascii="仿宋" w:hAnsi="仿宋" w:cs="仿宋"/>
        </w:rPr>
        <w:t>。</w:t>
      </w:r>
    </w:p>
    <w:p>
      <w:pPr>
        <w:adjustRightInd w:val="0"/>
        <w:snapToGrid w:val="0"/>
        <w:spacing w:before="0" w:line="560" w:lineRule="exact"/>
        <w:ind w:firstLine="480" w:firstLineChars="200"/>
        <w:jc w:val="left"/>
        <w:rPr>
          <w:rFonts w:hint="eastAsia" w:ascii="宋体" w:hAnsi="仿宋" w:cs="仿宋"/>
        </w:rPr>
      </w:pPr>
      <w:r>
        <w:rPr>
          <w:rFonts w:ascii="仿宋" w:hAnsi="仿宋" w:cs="仿宋"/>
        </w:rPr>
        <w:t>二、完全接受和满足本项目招标文件中规定的实质性要求，对招标文件</w:t>
      </w:r>
      <w:r>
        <w:rPr>
          <w:rFonts w:hint="eastAsia" w:ascii="仿宋" w:hAnsi="仿宋" w:cs="仿宋"/>
        </w:rPr>
        <w:t>存在</w:t>
      </w:r>
      <w:r>
        <w:rPr>
          <w:rFonts w:ascii="仿宋" w:hAnsi="仿宋" w:cs="仿宋"/>
        </w:rPr>
        <w:t>异议</w:t>
      </w:r>
      <w:r>
        <w:rPr>
          <w:rFonts w:hint="eastAsia" w:ascii="仿宋" w:hAnsi="仿宋" w:cs="仿宋"/>
        </w:rPr>
        <w:t>处</w:t>
      </w:r>
      <w:r>
        <w:rPr>
          <w:rFonts w:ascii="仿宋" w:hAnsi="仿宋" w:cs="仿宋"/>
        </w:rPr>
        <w:t>，已经在投标截止时间届满前依法进行</w:t>
      </w:r>
      <w:r>
        <w:rPr>
          <w:rFonts w:hint="eastAsia" w:ascii="仿宋" w:hAnsi="仿宋" w:cs="仿宋"/>
        </w:rPr>
        <w:t>咨询</w:t>
      </w:r>
      <w:r>
        <w:rPr>
          <w:rFonts w:ascii="仿宋" w:hAnsi="仿宋" w:cs="仿宋"/>
        </w:rPr>
        <w:t>，不存在对招标文件有异议的同时又参加投标以求侥幸中标或者为实现其他非法目的的行为。</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三、如果有诚信档案的失信行为，将在投标文件中全面如实反映。</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四、投标文件中提供的能够给予贵公司带来优惠、好处的任何材料资料和技术、服务、商务等响应承诺情况都是真实的、有效的、合法的。</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五、根据已收到的招标文件，我公司经研究上述招标文件的投标须知、技术规范、合格条件和其他相关文件后，经我方认真核算、愿意承担此次项目。</w:t>
      </w:r>
    </w:p>
    <w:p>
      <w:pPr>
        <w:adjustRightInd w:val="0"/>
        <w:snapToGrid w:val="0"/>
        <w:spacing w:before="0" w:line="560" w:lineRule="exact"/>
        <w:ind w:firstLine="480" w:firstLineChars="200"/>
        <w:jc w:val="left"/>
        <w:rPr>
          <w:rFonts w:hint="eastAsia" w:ascii="宋体" w:hAnsi="仿宋" w:cs="仿宋"/>
        </w:rPr>
      </w:pPr>
      <w:r>
        <w:rPr>
          <w:rFonts w:hint="eastAsia" w:ascii="宋体" w:hAnsi="仿宋" w:cs="仿宋"/>
        </w:rPr>
        <w:t>六、我公司提供的免费质保期为</w:t>
      </w:r>
      <w:r>
        <w:rPr>
          <w:rFonts w:hint="eastAsia" w:ascii="宋体" w:hAnsi="仿宋" w:cs="仿宋"/>
          <w:u w:val="single"/>
        </w:rPr>
        <w:t xml:space="preserve">    </w:t>
      </w:r>
      <w:r>
        <w:rPr>
          <w:rFonts w:hint="eastAsia" w:ascii="宋体" w:hAnsi="仿宋" w:cs="仿宋"/>
        </w:rPr>
        <w:t>个月（从项目验收合格次日算起），技术文件有约定的，以技术文件为准。</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七、我公司同意提供贵公司可能要求的与投标相关的一切数据资料，并完全理解贵公司不一定接受最低报价的投标。</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八、我公司承诺遵守贵公司一切保密、知识产权等管理规定。</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本公司对上述承诺的内容和事项真实性负责。如经查实上述承诺的内容事项存在虚假，我公司愿意接受以提供虚假材料谋取中标追究法律责任。</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投标人名称：</w:t>
      </w:r>
      <w:r>
        <w:rPr>
          <w:rFonts w:hint="eastAsia" w:ascii="仿宋" w:hAnsi="仿宋" w:cs="仿宋"/>
          <w:u w:val="single"/>
        </w:rPr>
        <w:t xml:space="preserve">                   </w:t>
      </w:r>
      <w:r>
        <w:rPr>
          <w:rFonts w:hint="eastAsia" w:ascii="仿宋" w:hAnsi="仿宋" w:cs="仿宋"/>
        </w:rPr>
        <w:t>（单位公章）</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法定代表人或授权代表：</w:t>
      </w:r>
      <w:r>
        <w:rPr>
          <w:rFonts w:hint="eastAsia" w:ascii="仿宋" w:hAnsi="仿宋" w:cs="仿宋"/>
          <w:u w:val="single"/>
        </w:rPr>
        <w:t xml:space="preserve">                </w:t>
      </w:r>
      <w:r>
        <w:rPr>
          <w:rFonts w:hint="eastAsia" w:ascii="仿宋" w:hAnsi="仿宋" w:cs="仿宋"/>
        </w:rPr>
        <w:t>（签字）</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年</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月</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日</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法定代表人资格证明书</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法定代表人资格证明书</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单位名称：</w:t>
      </w:r>
      <w:r>
        <w:rPr>
          <w:rFonts w:hint="eastAsia" w:ascii="仿宋" w:hAnsi="仿宋" w:cs="仿宋"/>
          <w:u w:val="single"/>
        </w:rPr>
        <w:t xml:space="preserve">                              </w:t>
      </w:r>
      <w:r>
        <w:rPr>
          <w:rFonts w:ascii="仿宋" w:hAnsi="仿宋" w:cs="仿宋"/>
        </w:rPr>
        <w:t>（投标单位的名称）</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地</w:t>
      </w:r>
      <w:r>
        <w:rPr>
          <w:rFonts w:ascii="仿宋" w:hAnsi="仿宋" w:cs="仿宋"/>
        </w:rPr>
        <w:t xml:space="preserve">    址：</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姓</w:t>
      </w:r>
      <w:r>
        <w:rPr>
          <w:rFonts w:ascii="仿宋" w:hAnsi="仿宋" w:cs="仿宋"/>
        </w:rPr>
        <w:t xml:space="preserve">    名：</w:t>
      </w:r>
      <w:r>
        <w:rPr>
          <w:rFonts w:hint="eastAsia" w:ascii="仿宋" w:hAnsi="仿宋" w:cs="仿宋"/>
          <w:u w:val="single"/>
        </w:rPr>
        <w:t xml:space="preserve">            </w:t>
      </w:r>
      <w:r>
        <w:rPr>
          <w:rFonts w:ascii="仿宋" w:hAnsi="仿宋" w:cs="仿宋"/>
        </w:rPr>
        <w:t>性别：</w:t>
      </w:r>
      <w:r>
        <w:rPr>
          <w:rFonts w:hint="eastAsia" w:ascii="仿宋" w:hAnsi="仿宋" w:cs="仿宋"/>
          <w:u w:val="single"/>
        </w:rPr>
        <w:t xml:space="preserve">     </w:t>
      </w:r>
      <w:r>
        <w:rPr>
          <w:rFonts w:ascii="仿宋" w:hAnsi="仿宋" w:cs="仿宋"/>
        </w:rPr>
        <w:t>年龄：</w:t>
      </w:r>
      <w:r>
        <w:rPr>
          <w:rFonts w:hint="eastAsia" w:ascii="仿宋" w:hAnsi="仿宋" w:cs="仿宋"/>
          <w:u w:val="single"/>
        </w:rPr>
        <w:t xml:space="preserve">     </w:t>
      </w:r>
      <w:r>
        <w:rPr>
          <w:rFonts w:ascii="仿宋" w:hAnsi="仿宋" w:cs="仿宋"/>
        </w:rPr>
        <w:t>职务：</w:t>
      </w:r>
      <w:r>
        <w:rPr>
          <w:rFonts w:hint="eastAsia" w:ascii="仿宋" w:hAnsi="仿宋" w:cs="仿宋"/>
          <w:u w:val="single"/>
        </w:rPr>
        <w:t xml:space="preserve">             </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本人系</w:t>
      </w:r>
      <w:r>
        <w:rPr>
          <w:rFonts w:hint="eastAsia" w:ascii="仿宋" w:hAnsi="仿宋" w:cs="仿宋"/>
          <w:u w:val="single"/>
        </w:rPr>
        <w:t xml:space="preserve">                                    （</w:t>
      </w:r>
      <w:r>
        <w:rPr>
          <w:rFonts w:ascii="仿宋" w:hAnsi="仿宋" w:cs="仿宋"/>
        </w:rPr>
        <w:t>投标单位的名称</w:t>
      </w:r>
      <w:r>
        <w:rPr>
          <w:rFonts w:hint="eastAsia" w:ascii="仿宋" w:hAnsi="仿宋" w:cs="仿宋"/>
        </w:rPr>
        <w:t>）</w:t>
      </w:r>
      <w:r>
        <w:rPr>
          <w:rFonts w:ascii="仿宋" w:hAnsi="仿宋" w:cs="仿宋"/>
        </w:rPr>
        <w:t>的法定代表人。就参加贵公司组织的</w:t>
      </w:r>
      <w:r>
        <w:rPr>
          <w:rFonts w:hint="eastAsia" w:ascii="仿宋" w:hAnsi="仿宋" w:cs="仿宋"/>
        </w:rPr>
        <w:t>XXXX项目</w:t>
      </w:r>
      <w:r>
        <w:rPr>
          <w:rFonts w:ascii="仿宋" w:hAnsi="仿宋" w:cs="仿宋"/>
        </w:rPr>
        <w:t>投标活动、并参与项目的投标、签订合同以及执行合同等一切事宜。</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特此证明。</w:t>
      </w:r>
    </w:p>
    <w:p>
      <w:pPr>
        <w:adjustRightInd w:val="0"/>
        <w:snapToGrid w:val="0"/>
        <w:spacing w:before="0" w:line="560" w:lineRule="exact"/>
        <w:ind w:firstLine="480" w:firstLineChars="200"/>
        <w:jc w:val="left"/>
        <w:rPr>
          <w:rFonts w:hint="eastAsia" w:ascii="仿宋" w:hAnsi="仿宋" w:cs="仿宋"/>
          <w:lang w:val="zh-CN"/>
        </w:rPr>
      </w:pP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投标人名称：</w:t>
      </w:r>
      <w:r>
        <w:rPr>
          <w:rFonts w:hint="eastAsia" w:ascii="仿宋" w:hAnsi="仿宋" w:cs="仿宋"/>
          <w:u w:val="single"/>
        </w:rPr>
        <w:t xml:space="preserve">            </w:t>
      </w:r>
      <w:r>
        <w:rPr>
          <w:rFonts w:hint="eastAsia" w:ascii="仿宋" w:hAnsi="仿宋" w:cs="仿宋"/>
        </w:rPr>
        <w:t>（盖章）</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法定代表人：</w:t>
      </w:r>
      <w:r>
        <w:rPr>
          <w:rFonts w:hint="eastAsia" w:ascii="仿宋" w:hAnsi="仿宋" w:cs="仿宋"/>
          <w:u w:val="single"/>
        </w:rPr>
        <w:t xml:space="preserve">            </w:t>
      </w:r>
      <w:r>
        <w:rPr>
          <w:rFonts w:hint="eastAsia" w:ascii="仿宋" w:hAnsi="仿宋" w:cs="仿宋"/>
        </w:rPr>
        <w:t>（签字）</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年</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月</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日</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附：法定代表人身份证复印件正反面</w:t>
      </w:r>
    </w:p>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投标单位法定代表人授权书</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法定代表人授权书</w:t>
      </w:r>
    </w:p>
    <w:p>
      <w:pPr>
        <w:adjustRightInd w:val="0"/>
        <w:snapToGrid w:val="0"/>
        <w:spacing w:before="0" w:line="560" w:lineRule="exact"/>
        <w:ind w:left="240" w:leftChars="100" w:firstLine="240" w:firstLineChars="100"/>
        <w:jc w:val="left"/>
        <w:rPr>
          <w:rFonts w:hint="eastAsia" w:ascii="仿宋" w:hAnsi="仿宋" w:cs="仿宋"/>
        </w:rPr>
      </w:pPr>
      <w:r>
        <w:rPr>
          <w:rFonts w:hint="eastAsia" w:ascii="仿宋" w:hAnsi="仿宋" w:cs="仿宋"/>
        </w:rPr>
        <w:t>本授权声明：</w:t>
      </w:r>
      <w:r>
        <w:rPr>
          <w:rFonts w:hint="eastAsia" w:ascii="仿宋" w:hAnsi="仿宋" w:cs="仿宋"/>
          <w:u w:val="single"/>
        </w:rPr>
        <w:t xml:space="preserve">                      </w:t>
      </w:r>
      <w:r>
        <w:rPr>
          <w:rFonts w:ascii="仿宋" w:hAnsi="仿宋" w:cs="仿宋"/>
        </w:rPr>
        <w:t>（投标人名称）</w:t>
      </w:r>
      <w:r>
        <w:rPr>
          <w:rFonts w:hint="eastAsia" w:ascii="仿宋" w:hAnsi="仿宋" w:cs="仿宋"/>
          <w:u w:val="single"/>
        </w:rPr>
        <w:t xml:space="preserve">                  </w:t>
      </w:r>
      <w:r>
        <w:rPr>
          <w:rFonts w:ascii="仿宋" w:hAnsi="仿宋" w:cs="仿宋"/>
        </w:rPr>
        <w:t>（法定代表人姓名、职务）授权</w:t>
      </w:r>
      <w:r>
        <w:rPr>
          <w:rFonts w:hint="eastAsia" w:ascii="仿宋" w:hAnsi="仿宋" w:cs="仿宋"/>
          <w:u w:val="single"/>
        </w:rPr>
        <w:t xml:space="preserve">                       </w:t>
      </w:r>
      <w:r>
        <w:rPr>
          <w:rFonts w:ascii="仿宋" w:hAnsi="仿宋" w:cs="仿宋"/>
        </w:rPr>
        <w:t>（被授权人姓名、职务）为我方“</w:t>
      </w:r>
      <w:r>
        <w:rPr>
          <w:rFonts w:hint="eastAsia" w:ascii="仿宋" w:hAnsi="仿宋" w:cs="仿宋"/>
        </w:rPr>
        <w:t>XXXX项目</w:t>
      </w:r>
      <w:r>
        <w:rPr>
          <w:rFonts w:ascii="仿宋" w:hAnsi="仿宋" w:cs="仿宋"/>
        </w:rPr>
        <w:t>”项目投标活动的合法代表，以我方名义全权处理该项目有关投标、签订合同以及执行合同等一切事宜。</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特此声明。</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附：法定代表人和被授权人身份证复印件正反面</w:t>
      </w:r>
    </w:p>
    <w:p>
      <w:pPr>
        <w:adjustRightInd w:val="0"/>
        <w:snapToGrid w:val="0"/>
        <w:spacing w:before="0" w:line="560" w:lineRule="exact"/>
        <w:ind w:firstLine="480" w:firstLineChars="200"/>
        <w:jc w:val="left"/>
        <w:rPr>
          <w:rFonts w:hint="eastAsia" w:ascii="仿宋" w:hAnsi="仿宋" w:cs="仿宋"/>
          <w:lang w:val="zh-CN"/>
        </w:rPr>
      </w:pP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法定代表人：</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hint="eastAsia" w:ascii="仿宋" w:hAnsi="仿宋" w:cs="仿宋"/>
        </w:rPr>
        <w:t>（签字）</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授权代表：</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hint="eastAsia" w:ascii="仿宋" w:hAnsi="仿宋" w:cs="仿宋"/>
        </w:rPr>
        <w:t>（签字）</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投标人名称：</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（单位盖章）</w:t>
      </w:r>
    </w:p>
    <w:p>
      <w:pPr>
        <w:adjustRightInd w:val="0"/>
        <w:snapToGrid w:val="0"/>
        <w:spacing w:before="0" w:line="560" w:lineRule="exact"/>
        <w:ind w:firstLine="480" w:firstLineChars="200"/>
        <w:jc w:val="right"/>
        <w:rPr>
          <w:rFonts w:hint="eastAsia" w:ascii="宋体" w:hAnsi="宋体" w:eastAsia="宋体" w:cs="仿宋"/>
          <w:szCs w:val="21"/>
        </w:rPr>
      </w:pP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年</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月</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日</w:t>
      </w:r>
      <w:r>
        <w:rPr>
          <w:rFonts w:ascii="宋体" w:hAnsi="宋体" w:eastAsia="宋体" w:cs="仿宋"/>
          <w:szCs w:val="21"/>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商务和技术偏差表</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商务和技术偏差表</w:t>
      </w:r>
    </w:p>
    <w:tbl>
      <w:tblPr>
        <w:tblStyle w:val="9"/>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423"/>
        <w:gridCol w:w="2280"/>
        <w:gridCol w:w="1991"/>
        <w:gridCol w:w="8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vAlign w:val="center"/>
          </w:tcPr>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rPr>
              <w:t>对本项目商务和技术条款的偏离情况（请进行勾选）：</w:t>
            </w:r>
          </w:p>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rPr>
              <w:t>□无偏离（如无偏离，仅勾选无偏离即可）</w:t>
            </w:r>
          </w:p>
          <w:p>
            <w:pPr>
              <w:adjustRightInd w:val="0"/>
              <w:snapToGrid w:val="0"/>
              <w:spacing w:before="0" w:line="560" w:lineRule="exact"/>
              <w:ind w:firstLine="33" w:firstLineChars="14"/>
              <w:jc w:val="left"/>
              <w:rPr>
                <w:rFonts w:hint="eastAsia" w:ascii="仿宋" w:hAnsi="仿宋" w:cs="仿宋"/>
              </w:rPr>
            </w:pPr>
            <w:r>
              <w:rPr>
                <w:rFonts w:hint="eastAsia" w:ascii="仿宋" w:hAnsi="仿宋" w:cs="仿宋"/>
              </w:rPr>
              <w:t>□有偏离（如有正偏离或负偏离，则须在本表中对正偏离或负偏离项逐一列明）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序号</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招标文件章节及条款号</w:t>
            </w: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投标文件章节及条款号</w:t>
            </w: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rPr>
              <w:t>偏差</w:t>
            </w:r>
          </w:p>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rPr>
              <w:t>（正偏离、负偏离）</w:t>
            </w:r>
          </w:p>
        </w:tc>
        <w:tc>
          <w:tcPr>
            <w:tcW w:w="494" w:type="pct"/>
            <w:vAlign w:val="center"/>
          </w:tcPr>
          <w:p>
            <w:pPr>
              <w:adjustRightInd w:val="0"/>
              <w:snapToGrid w:val="0"/>
              <w:spacing w:before="0" w:line="560" w:lineRule="exact"/>
              <w:ind w:firstLine="33" w:firstLineChars="14"/>
              <w:jc w:val="center"/>
              <w:rPr>
                <w:rFonts w:hint="eastAsia" w:ascii="仿宋" w:hAnsi="仿宋" w:cs="仿宋"/>
              </w:rPr>
            </w:pPr>
            <w:r>
              <w:rPr>
                <w:rFonts w:hint="eastAsia" w:ascii="仿宋" w:hAnsi="仿宋" w:cs="仿宋"/>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1</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p>
        </w:tc>
        <w:tc>
          <w:tcPr>
            <w:tcW w:w="494" w:type="pct"/>
            <w:vAlign w:val="center"/>
          </w:tcPr>
          <w:p>
            <w:pPr>
              <w:adjustRightInd w:val="0"/>
              <w:snapToGrid w:val="0"/>
              <w:spacing w:before="0" w:line="560" w:lineRule="exact"/>
              <w:ind w:firstLine="33" w:firstLineChars="14"/>
              <w:jc w:val="center"/>
              <w:rPr>
                <w:rFonts w:hint="eastAsia" w:ascii="仿宋" w:hAnsi="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2</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p>
        </w:tc>
        <w:tc>
          <w:tcPr>
            <w:tcW w:w="494" w:type="pct"/>
            <w:vAlign w:val="center"/>
          </w:tcPr>
          <w:p>
            <w:pPr>
              <w:adjustRightInd w:val="0"/>
              <w:snapToGrid w:val="0"/>
              <w:spacing w:before="0" w:line="560" w:lineRule="exact"/>
              <w:ind w:firstLine="33" w:firstLineChars="14"/>
              <w:jc w:val="center"/>
              <w:rPr>
                <w:rFonts w:hint="eastAsia" w:ascii="仿宋" w:hAnsi="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3</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p>
        </w:tc>
        <w:tc>
          <w:tcPr>
            <w:tcW w:w="494" w:type="pct"/>
            <w:vAlign w:val="center"/>
          </w:tcPr>
          <w:p>
            <w:pPr>
              <w:adjustRightInd w:val="0"/>
              <w:snapToGrid w:val="0"/>
              <w:spacing w:before="0" w:line="560" w:lineRule="exact"/>
              <w:ind w:firstLine="33" w:firstLineChars="14"/>
              <w:jc w:val="center"/>
              <w:rPr>
                <w:rFonts w:hint="eastAsia" w:ascii="仿宋" w:hAnsi="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4</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p>
        </w:tc>
        <w:tc>
          <w:tcPr>
            <w:tcW w:w="494" w:type="pct"/>
            <w:vAlign w:val="center"/>
          </w:tcPr>
          <w:p>
            <w:pPr>
              <w:adjustRightInd w:val="0"/>
              <w:snapToGrid w:val="0"/>
              <w:spacing w:before="0" w:line="560" w:lineRule="exact"/>
              <w:ind w:firstLine="33" w:firstLineChars="14"/>
              <w:jc w:val="center"/>
              <w:rPr>
                <w:rFonts w:hint="eastAsia" w:ascii="仿宋" w:hAnsi="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5</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p>
        </w:tc>
        <w:tc>
          <w:tcPr>
            <w:tcW w:w="494" w:type="pct"/>
            <w:vAlign w:val="center"/>
          </w:tcPr>
          <w:p>
            <w:pPr>
              <w:adjustRightInd w:val="0"/>
              <w:snapToGrid w:val="0"/>
              <w:spacing w:before="0" w:line="560" w:lineRule="exact"/>
              <w:ind w:firstLine="33" w:firstLineChars="14"/>
              <w:jc w:val="center"/>
              <w:rPr>
                <w:rFonts w:hint="eastAsia" w:ascii="仿宋" w:hAnsi="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vAlign w:val="center"/>
          </w:tcPr>
          <w:p>
            <w:pPr>
              <w:adjustRightInd w:val="0"/>
              <w:snapToGrid w:val="0"/>
              <w:spacing w:before="0" w:line="560" w:lineRule="exact"/>
              <w:ind w:firstLine="33" w:firstLineChars="14"/>
              <w:jc w:val="center"/>
              <w:rPr>
                <w:rFonts w:hint="eastAsia" w:ascii="仿宋" w:hAnsi="仿宋" w:cs="仿宋"/>
              </w:rPr>
            </w:pPr>
            <w:r>
              <w:rPr>
                <w:rFonts w:ascii="仿宋" w:hAnsi="仿宋" w:cs="仿宋"/>
              </w:rPr>
              <w:t>……</w:t>
            </w:r>
          </w:p>
        </w:tc>
        <w:tc>
          <w:tcPr>
            <w:tcW w:w="1423" w:type="pct"/>
            <w:vAlign w:val="center"/>
          </w:tcPr>
          <w:p>
            <w:pPr>
              <w:adjustRightInd w:val="0"/>
              <w:snapToGrid w:val="0"/>
              <w:spacing w:before="0" w:line="560" w:lineRule="exact"/>
              <w:ind w:firstLine="33" w:firstLineChars="14"/>
              <w:jc w:val="center"/>
              <w:rPr>
                <w:rFonts w:hint="eastAsia" w:ascii="仿宋" w:hAnsi="仿宋" w:cs="仿宋"/>
              </w:rPr>
            </w:pPr>
          </w:p>
        </w:tc>
        <w:tc>
          <w:tcPr>
            <w:tcW w:w="1339" w:type="pct"/>
            <w:vAlign w:val="center"/>
          </w:tcPr>
          <w:p>
            <w:pPr>
              <w:adjustRightInd w:val="0"/>
              <w:snapToGrid w:val="0"/>
              <w:spacing w:before="0" w:line="560" w:lineRule="exact"/>
              <w:ind w:firstLine="33" w:firstLineChars="14"/>
              <w:jc w:val="center"/>
              <w:rPr>
                <w:rFonts w:hint="eastAsia" w:ascii="仿宋" w:hAnsi="仿宋" w:cs="仿宋"/>
              </w:rPr>
            </w:pPr>
          </w:p>
        </w:tc>
        <w:tc>
          <w:tcPr>
            <w:tcW w:w="1169" w:type="pct"/>
            <w:vAlign w:val="center"/>
          </w:tcPr>
          <w:p>
            <w:pPr>
              <w:adjustRightInd w:val="0"/>
              <w:snapToGrid w:val="0"/>
              <w:spacing w:before="0" w:line="560" w:lineRule="exact"/>
              <w:ind w:firstLine="33" w:firstLineChars="14"/>
              <w:jc w:val="center"/>
              <w:rPr>
                <w:rFonts w:hint="eastAsia" w:ascii="仿宋" w:hAnsi="仿宋" w:cs="仿宋"/>
              </w:rPr>
            </w:pPr>
          </w:p>
        </w:tc>
        <w:tc>
          <w:tcPr>
            <w:tcW w:w="494" w:type="pct"/>
            <w:vAlign w:val="center"/>
          </w:tcPr>
          <w:p>
            <w:pPr>
              <w:adjustRightInd w:val="0"/>
              <w:snapToGrid w:val="0"/>
              <w:spacing w:before="0" w:line="560" w:lineRule="exact"/>
              <w:ind w:firstLine="33" w:firstLineChars="14"/>
              <w:jc w:val="center"/>
              <w:rPr>
                <w:rFonts w:hint="eastAsia" w:ascii="仿宋" w:hAnsi="仿宋" w:cs="仿宋"/>
              </w:rPr>
            </w:pPr>
          </w:p>
        </w:tc>
      </w:tr>
    </w:tbl>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注：</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1.投标人保证：除商务和技术偏差表列出的偏差外，投标人响应招标文件的全部要求；</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2.</w:t>
      </w:r>
      <w:r>
        <w:rPr>
          <w:rFonts w:ascii="仿宋" w:hAnsi="仿宋" w:cs="仿宋"/>
          <w:szCs w:val="21"/>
        </w:rPr>
        <w:t>“偏离情况”列应据实填写“正偏离”或“负偏离”</w:t>
      </w:r>
      <w:r>
        <w:rPr>
          <w:rFonts w:ascii="仿宋" w:hAnsi="仿宋" w:cs="仿宋"/>
        </w:rPr>
        <w:t>。</w:t>
      </w:r>
    </w:p>
    <w:p>
      <w:pPr>
        <w:adjustRightInd w:val="0"/>
        <w:snapToGrid w:val="0"/>
        <w:spacing w:before="0" w:line="560" w:lineRule="exact"/>
        <w:jc w:val="left"/>
        <w:rPr>
          <w:rFonts w:hint="eastAsia" w:ascii="仿宋" w:hAnsi="仿宋" w:cs="仿宋"/>
          <w:b/>
        </w:rPr>
      </w:pPr>
    </w:p>
    <w:p>
      <w:pPr>
        <w:numPr>
          <w:ilvl w:val="0"/>
          <w:numId w:val="10"/>
        </w:numPr>
        <w:adjustRightInd w:val="0"/>
        <w:snapToGrid w:val="0"/>
        <w:spacing w:before="0" w:line="560" w:lineRule="exact"/>
        <w:jc w:val="left"/>
        <w:outlineLvl w:val="3"/>
        <w:rPr>
          <w:rFonts w:hint="eastAsia" w:ascii="仿宋" w:hAnsi="仿宋" w:cs="仿宋"/>
          <w:b/>
        </w:rPr>
      </w:pPr>
      <w:r>
        <w:rPr>
          <w:rFonts w:ascii="宋体" w:hAnsi="宋体" w:eastAsia="宋体" w:cs="仿宋"/>
          <w:szCs w:val="21"/>
        </w:rPr>
        <w:br w:type="page"/>
      </w:r>
      <w:r>
        <w:rPr>
          <w:rFonts w:hint="eastAsia" w:ascii="仿宋" w:hAnsi="仿宋" w:cs="仿宋"/>
          <w:b/>
        </w:rPr>
        <w:t>投标文件真实有效声明函</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投标文件真实有效声明函</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项目名称：中国机械总院</w:t>
      </w:r>
      <w:r>
        <w:rPr>
          <w:rFonts w:hint="eastAsia" w:ascii="仿宋" w:hAnsi="仿宋" w:cs="仿宋"/>
          <w:lang w:eastAsia="zh"/>
        </w:rPr>
        <w:t>“十五五”</w:t>
      </w:r>
      <w:r>
        <w:rPr>
          <w:rFonts w:hint="eastAsia" w:ascii="仿宋" w:hAnsi="仿宋" w:cs="仿宋"/>
        </w:rPr>
        <w:t>网络安全和</w:t>
      </w:r>
      <w:r>
        <w:rPr>
          <w:rFonts w:hint="eastAsia" w:ascii="仿宋" w:hAnsi="仿宋" w:cs="仿宋"/>
          <w:lang w:eastAsia="zh"/>
        </w:rPr>
        <w:t>信息化</w:t>
      </w:r>
      <w:r>
        <w:rPr>
          <w:rFonts w:hint="eastAsia" w:ascii="仿宋" w:hAnsi="仿宋" w:cs="仿宋"/>
        </w:rPr>
        <w:t>规划编制服务项目</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致：中国机械科学研究总院集团有限公司</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我公司愿意针对上述项目进行投标。投标文件中所</w:t>
      </w:r>
      <w:r>
        <w:rPr>
          <w:rFonts w:hint="eastAsia" w:ascii="仿宋" w:hAnsi="仿宋" w:cs="仿宋"/>
        </w:rPr>
        <w:t>提供的相关</w:t>
      </w:r>
      <w:r>
        <w:rPr>
          <w:rFonts w:ascii="仿宋" w:hAnsi="仿宋" w:cs="仿宋"/>
        </w:rPr>
        <w:t>文件、证明、陈述均是真实的、</w:t>
      </w:r>
      <w:r>
        <w:rPr>
          <w:rFonts w:hint="eastAsia" w:ascii="仿宋" w:hAnsi="仿宋" w:cs="仿宋"/>
        </w:rPr>
        <w:t>有效的、</w:t>
      </w:r>
      <w:r>
        <w:rPr>
          <w:rFonts w:ascii="仿宋" w:hAnsi="仿宋" w:cs="仿宋"/>
        </w:rPr>
        <w:t>准确的。若有违背，我公司承担由此而产生的一切后果。</w:t>
      </w:r>
    </w:p>
    <w:p>
      <w:pPr>
        <w:adjustRightInd w:val="0"/>
        <w:snapToGrid w:val="0"/>
        <w:spacing w:before="0" w:line="560" w:lineRule="exact"/>
        <w:ind w:firstLine="480" w:firstLineChars="200"/>
        <w:jc w:val="left"/>
        <w:rPr>
          <w:rFonts w:hint="eastAsia" w:ascii="仿宋" w:hAnsi="仿宋" w:cs="仿宋"/>
        </w:rPr>
      </w:pPr>
      <w:r>
        <w:rPr>
          <w:rFonts w:ascii="仿宋" w:hAnsi="仿宋" w:cs="仿宋"/>
        </w:rPr>
        <w:t>特此声明！</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投标人名称：</w:t>
      </w:r>
      <w:r>
        <w:rPr>
          <w:rFonts w:hint="eastAsia" w:ascii="仿宋" w:hAnsi="仿宋" w:cs="仿宋"/>
          <w:u w:val="single"/>
        </w:rPr>
        <w:t xml:space="preserve">                   </w:t>
      </w:r>
      <w:r>
        <w:rPr>
          <w:rFonts w:hint="eastAsia" w:ascii="仿宋" w:hAnsi="仿宋" w:cs="仿宋"/>
        </w:rPr>
        <w:t>（单位公章）</w:t>
      </w:r>
    </w:p>
    <w:p>
      <w:pPr>
        <w:adjustRightInd w:val="0"/>
        <w:snapToGrid w:val="0"/>
        <w:spacing w:before="0" w:line="560" w:lineRule="exact"/>
        <w:ind w:firstLine="480" w:firstLineChars="200"/>
        <w:jc w:val="right"/>
        <w:rPr>
          <w:rFonts w:hint="eastAsia" w:ascii="仿宋" w:hAnsi="仿宋" w:cs="仿宋"/>
        </w:rPr>
      </w:pP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rPr>
        <w:t>法定代表人或授权代表：</w:t>
      </w:r>
      <w:r>
        <w:rPr>
          <w:rFonts w:hint="eastAsia" w:ascii="仿宋" w:hAnsi="仿宋" w:cs="仿宋"/>
          <w:u w:val="single"/>
        </w:rPr>
        <w:t xml:space="preserve">                </w:t>
      </w:r>
      <w:r>
        <w:rPr>
          <w:rFonts w:hint="eastAsia" w:ascii="仿宋" w:hAnsi="仿宋" w:cs="仿宋"/>
        </w:rPr>
        <w:t>（签字）</w:t>
      </w:r>
    </w:p>
    <w:p>
      <w:pPr>
        <w:adjustRightInd w:val="0"/>
        <w:snapToGrid w:val="0"/>
        <w:spacing w:before="0" w:line="560" w:lineRule="exact"/>
        <w:ind w:firstLine="480" w:firstLineChars="200"/>
        <w:jc w:val="right"/>
        <w:rPr>
          <w:rFonts w:hint="eastAsia" w:ascii="仿宋" w:hAnsi="仿宋" w:cs="仿宋"/>
        </w:rPr>
      </w:pP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年</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月</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ascii="仿宋" w:hAnsi="仿宋" w:cs="仿宋"/>
        </w:rPr>
        <w:t>日</w:t>
      </w:r>
    </w:p>
    <w:p>
      <w:pPr>
        <w:spacing w:before="0" w:line="240" w:lineRule="auto"/>
        <w:jc w:val="left"/>
        <w:rPr>
          <w:rFonts w:hint="eastAsia" w:ascii="仿宋" w:hAnsi="仿宋" w:cs="仿宋"/>
        </w:rPr>
      </w:pPr>
      <w:r>
        <w:rPr>
          <w:rFonts w:ascii="仿宋" w:hAnsi="仿宋" w:cs="仿宋"/>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ascii="仿宋" w:hAnsi="仿宋" w:cs="仿宋"/>
          <w:b/>
        </w:rPr>
        <w:t>企业营业执照</w:t>
      </w:r>
      <w:r>
        <w:rPr>
          <w:rFonts w:hint="eastAsia" w:ascii="仿宋" w:hAnsi="仿宋" w:cs="仿宋"/>
          <w:b/>
        </w:rPr>
        <w:t>、ISO9001质量管理体系认证、ISO27001信息安全管理体系认证、ISO20000信息技术服务管理体系认证的</w:t>
      </w:r>
      <w:r>
        <w:rPr>
          <w:rFonts w:ascii="仿宋" w:hAnsi="仿宋" w:cs="仿宋"/>
          <w:b/>
        </w:rPr>
        <w:t>复印件加盖公章；</w:t>
      </w:r>
    </w:p>
    <w:p>
      <w:pPr>
        <w:numPr>
          <w:ilvl w:val="255"/>
          <w:numId w:val="0"/>
        </w:numPr>
        <w:spacing w:before="0" w:line="240" w:lineRule="auto"/>
        <w:jc w:val="left"/>
        <w:rPr>
          <w:rFonts w:hint="eastAsia" w:ascii="仿宋" w:hAnsi="仿宋" w:cs="仿宋"/>
          <w:b/>
        </w:rPr>
      </w:pPr>
      <w:r>
        <w:rPr>
          <w:rFonts w:ascii="仿宋" w:hAnsi="仿宋" w:cs="仿宋"/>
          <w:b/>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ascii="仿宋" w:hAnsi="仿宋" w:cs="仿宋"/>
          <w:b/>
        </w:rPr>
        <w:t>近3年</w:t>
      </w:r>
      <w:r>
        <w:rPr>
          <w:rFonts w:hint="eastAsia" w:ascii="仿宋" w:hAnsi="仿宋" w:cs="仿宋"/>
          <w:b/>
        </w:rPr>
        <w:t>（</w:t>
      </w:r>
      <w:r>
        <w:rPr>
          <w:rFonts w:hint="eastAsia" w:ascii="仿宋" w:hAnsi="仿宋" w:cs="仿宋"/>
        </w:rPr>
        <w:t>20</w:t>
      </w:r>
      <w:r>
        <w:rPr>
          <w:rFonts w:hint="eastAsia" w:ascii="仿宋" w:hAnsi="仿宋" w:cs="仿宋"/>
          <w:u w:val="single"/>
        </w:rPr>
        <w:t xml:space="preserve">  </w:t>
      </w:r>
      <w:r>
        <w:rPr>
          <w:rFonts w:hint="eastAsia" w:ascii="仿宋" w:hAnsi="仿宋" w:cs="仿宋"/>
          <w:b/>
        </w:rPr>
        <w:t>年度、</w:t>
      </w:r>
      <w:r>
        <w:rPr>
          <w:rFonts w:hint="eastAsia" w:ascii="仿宋" w:hAnsi="仿宋" w:cs="仿宋"/>
        </w:rPr>
        <w:t>20</w:t>
      </w:r>
      <w:r>
        <w:rPr>
          <w:rFonts w:hint="eastAsia" w:ascii="仿宋" w:hAnsi="仿宋" w:cs="仿宋"/>
          <w:u w:val="single"/>
        </w:rPr>
        <w:t xml:space="preserve">  </w:t>
      </w:r>
      <w:r>
        <w:rPr>
          <w:rFonts w:hint="eastAsia" w:ascii="仿宋" w:hAnsi="仿宋" w:cs="仿宋"/>
          <w:b/>
        </w:rPr>
        <w:t>年度、</w:t>
      </w:r>
      <w:r>
        <w:rPr>
          <w:rFonts w:hint="eastAsia" w:ascii="仿宋" w:hAnsi="仿宋" w:cs="仿宋"/>
        </w:rPr>
        <w:t>20</w:t>
      </w:r>
      <w:r>
        <w:rPr>
          <w:rFonts w:hint="eastAsia" w:ascii="仿宋" w:hAnsi="仿宋" w:cs="仿宋"/>
          <w:u w:val="single"/>
        </w:rPr>
        <w:t xml:space="preserve">  </w:t>
      </w:r>
      <w:r>
        <w:rPr>
          <w:rFonts w:hint="eastAsia" w:ascii="仿宋" w:hAnsi="仿宋" w:cs="仿宋"/>
          <w:b/>
        </w:rPr>
        <w:t>年度）</w:t>
      </w:r>
      <w:r>
        <w:rPr>
          <w:rFonts w:ascii="仿宋" w:hAnsi="仿宋" w:cs="仿宋"/>
          <w:b/>
        </w:rPr>
        <w:t>第三方会计师事务所审计的财务审计报告</w:t>
      </w:r>
      <w:r>
        <w:rPr>
          <w:rFonts w:hint="eastAsia" w:ascii="仿宋" w:hAnsi="仿宋" w:cs="仿宋"/>
          <w:b/>
        </w:rPr>
        <w:t>，包括资产负债表、损益表或现金流量表、利润表，提供复印件加盖单位公章</w:t>
      </w:r>
      <w:r>
        <w:rPr>
          <w:rFonts w:ascii="仿宋" w:hAnsi="仿宋" w:cs="仿宋"/>
          <w:b/>
        </w:rPr>
        <w:t>；</w:t>
      </w:r>
    </w:p>
    <w:tbl>
      <w:tblPr>
        <w:tblStyle w:val="9"/>
        <w:tblW w:w="5000" w:type="pct"/>
        <w:tblInd w:w="0" w:type="dxa"/>
        <w:tblLayout w:type="autofit"/>
        <w:tblCellMar>
          <w:top w:w="0" w:type="dxa"/>
          <w:left w:w="0" w:type="dxa"/>
          <w:bottom w:w="0" w:type="dxa"/>
          <w:right w:w="0" w:type="dxa"/>
        </w:tblCellMar>
      </w:tblPr>
      <w:tblGrid>
        <w:gridCol w:w="2283"/>
        <w:gridCol w:w="1134"/>
        <w:gridCol w:w="1133"/>
        <w:gridCol w:w="1134"/>
        <w:gridCol w:w="1134"/>
        <w:gridCol w:w="1522"/>
      </w:tblGrid>
      <w:tr>
        <w:tblPrEx>
          <w:tblCellMar>
            <w:top w:w="0" w:type="dxa"/>
            <w:left w:w="0" w:type="dxa"/>
            <w:bottom w:w="0" w:type="dxa"/>
            <w:right w:w="0" w:type="dxa"/>
          </w:tblCellMar>
        </w:tblPrEx>
        <w:trPr>
          <w:trHeight w:val="687" w:hRule="atLeast"/>
        </w:trPr>
        <w:tc>
          <w:tcPr>
            <w:tcW w:w="5000" w:type="pct"/>
            <w:gridSpan w:val="6"/>
            <w:tcBorders>
              <w:top w:val="nil"/>
              <w:left w:val="nil"/>
              <w:bottom w:val="nil"/>
              <w:right w:val="nil"/>
            </w:tcBorders>
            <w:tcMar>
              <w:top w:w="17" w:type="dxa"/>
              <w:left w:w="17" w:type="dxa"/>
              <w:bottom w:w="0" w:type="dxa"/>
              <w:right w:w="17" w:type="dxa"/>
            </w:tcMar>
            <w:vAlign w:val="center"/>
          </w:tcPr>
          <w:p>
            <w:pPr>
              <w:adjustRightInd w:val="0"/>
              <w:snapToGrid w:val="0"/>
              <w:spacing w:before="0" w:line="560" w:lineRule="exact"/>
              <w:ind w:left="425"/>
              <w:rPr>
                <w:rFonts w:hint="eastAsia" w:ascii="华文中宋" w:hAnsi="华文中宋" w:eastAsia="华文中宋" w:cs="宋体"/>
                <w:sz w:val="40"/>
                <w:szCs w:val="40"/>
              </w:rPr>
            </w:pPr>
            <w:r>
              <w:rPr>
                <w:rFonts w:hint="eastAsia" w:ascii="仿宋" w:hAnsi="仿宋" w:cs="仿宋"/>
                <w:b/>
              </w:rPr>
              <w:t>财务报告数据统计表</w:t>
            </w:r>
          </w:p>
        </w:tc>
      </w:tr>
      <w:tr>
        <w:tblPrEx>
          <w:tblCellMar>
            <w:top w:w="0" w:type="dxa"/>
            <w:left w:w="0" w:type="dxa"/>
            <w:bottom w:w="0" w:type="dxa"/>
            <w:right w:w="0" w:type="dxa"/>
          </w:tblCellMar>
        </w:tblPrEx>
        <w:trPr>
          <w:trHeight w:val="855" w:hRule="atLeast"/>
        </w:trPr>
        <w:tc>
          <w:tcPr>
            <w:tcW w:w="1369" w:type="pc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1928" w:firstLineChars="800"/>
              <w:jc w:val="left"/>
              <w:rPr>
                <w:rFonts w:hint="eastAsia" w:ascii="仿宋" w:hAnsi="仿宋" w:cs="仿宋"/>
                <w:b/>
                <w:bCs/>
                <w:szCs w:val="21"/>
              </w:rPr>
            </w:pPr>
            <w:r>
              <w:rPr>
                <w:rFonts w:hint="eastAsia" w:ascii="仿宋" w:hAnsi="仿宋" w:cs="仿宋"/>
                <w:b/>
                <w:bCs/>
                <w:szCs w:val="21"/>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-12065</wp:posOffset>
                      </wp:positionV>
                      <wp:extent cx="1546860" cy="742315"/>
                      <wp:effectExtent l="1905" t="4445" r="13335" b="15240"/>
                      <wp:wrapNone/>
                      <wp:docPr id="1825229609"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546860" cy="742315"/>
                              </a:xfrm>
                              <a:prstGeom prst="straightConnector1">
                                <a:avLst/>
                              </a:prstGeom>
                              <a:noFill/>
                              <a:ln w="9525">
                                <a:solidFill>
                                  <a:srgbClr val="000000"/>
                                </a:solidFill>
                                <a:round/>
                              </a:ln>
                              <a:effectLst/>
                            </wps:spPr>
                            <wps:bodyPr/>
                          </wps:wsp>
                        </a:graphicData>
                      </a:graphic>
                    </wp:anchor>
                  </w:drawing>
                </mc:Choice>
                <mc:Fallback>
                  <w:pict>
                    <v:shape id="直接箭头连接符 6" o:spid="_x0000_s1026" o:spt="32" type="#_x0000_t32" style="position:absolute;left:0pt;margin-left:0.5pt;margin-top:-0.95pt;height:58.45pt;width:121.8pt;z-index:251659264;mso-width-relative:page;mso-height-relative:page;" filled="f" stroked="t" coordsize="21600,21600" o:gfxdata="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&#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A00t1wAAAAgBAAAPAAAAAAAAAAEAIAAAACIAAABk&#10;cnMvZG93bnJldi54bWxQSwECFAAUAAAACACHTuJARNxutgcCAADaAwAADgAAAAAAAAABACAAAAAm&#10;AQAAZHJzL2Uyb0RvYy54bWxQSwUGAAAAAAYABgBZAQAAnwUAAAAA&#10;">
                      <v:fill on="f" focussize="0,0"/>
                      <v:stroke color="#000000" joinstyle="round"/>
                      <v:imagedata o:title=""/>
                      <o:lock v:ext="edit" aspectratio="f"/>
                    </v:shape>
                  </w:pict>
                </mc:Fallback>
              </mc:AlternateContent>
            </w:r>
            <w:r>
              <w:rPr>
                <w:rFonts w:hint="eastAsia" w:ascii="仿宋" w:hAnsi="仿宋" w:cs="仿宋"/>
                <w:b/>
                <w:bCs/>
                <w:szCs w:val="21"/>
              </w:rPr>
              <w:t>年度</w:t>
            </w:r>
          </w:p>
          <w:p>
            <w:pPr>
              <w:adjustRightInd w:val="0"/>
              <w:snapToGrid w:val="0"/>
              <w:spacing w:before="0" w:line="560" w:lineRule="exact"/>
              <w:ind w:firstLine="34" w:firstLineChars="14"/>
              <w:jc w:val="left"/>
              <w:rPr>
                <w:rFonts w:hint="eastAsia" w:ascii="宋体" w:hAnsi="宋体" w:eastAsia="宋体" w:cs="仿宋"/>
                <w:szCs w:val="21"/>
              </w:rPr>
            </w:pPr>
            <w:r>
              <w:rPr>
                <w:rFonts w:hint="eastAsia" w:ascii="仿宋" w:hAnsi="仿宋" w:cs="仿宋"/>
                <w:b/>
                <w:bCs/>
                <w:szCs w:val="21"/>
              </w:rPr>
              <w:t>数据项目</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center"/>
              <w:rPr>
                <w:rFonts w:hint="eastAsia" w:ascii="宋体" w:hAnsi="宋体" w:eastAsia="宋体" w:cs="宋体"/>
                <w:szCs w:val="21"/>
              </w:rPr>
            </w:pPr>
            <w:r>
              <w:rPr>
                <w:rFonts w:hint="eastAsia" w:ascii="仿宋" w:hAnsi="仿宋" w:cs="仿宋"/>
              </w:rPr>
              <w:t>20</w:t>
            </w:r>
            <w:r>
              <w:rPr>
                <w:rFonts w:hint="eastAsia" w:ascii="仿宋" w:hAnsi="仿宋" w:cs="仿宋"/>
                <w:u w:val="single"/>
              </w:rPr>
              <w:t xml:space="preserve">  </w:t>
            </w:r>
            <w:r>
              <w:rPr>
                <w:rFonts w:hint="eastAsia" w:ascii="仿宋" w:hAnsi="仿宋" w:cs="仿宋"/>
                <w:b/>
              </w:rPr>
              <w:t>年度</w:t>
            </w:r>
          </w:p>
        </w:tc>
        <w:tc>
          <w:tcPr>
            <w:tcW w:w="679"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center"/>
              <w:rPr>
                <w:rFonts w:hint="eastAsia" w:ascii="宋体" w:hAnsi="宋体" w:eastAsia="宋体" w:cs="宋体"/>
                <w:szCs w:val="21"/>
              </w:rPr>
            </w:pPr>
            <w:r>
              <w:rPr>
                <w:rFonts w:hint="eastAsia" w:ascii="仿宋" w:hAnsi="仿宋" w:cs="仿宋"/>
              </w:rPr>
              <w:t>20</w:t>
            </w:r>
            <w:r>
              <w:rPr>
                <w:rFonts w:hint="eastAsia" w:ascii="仿宋" w:hAnsi="仿宋" w:cs="仿宋"/>
                <w:u w:val="single"/>
              </w:rPr>
              <w:t xml:space="preserve">  </w:t>
            </w:r>
            <w:r>
              <w:rPr>
                <w:rFonts w:hint="eastAsia" w:ascii="仿宋" w:hAnsi="仿宋" w:cs="仿宋"/>
                <w:b/>
              </w:rPr>
              <w:t>年度</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center"/>
              <w:rPr>
                <w:rFonts w:hint="eastAsia" w:ascii="宋体" w:hAnsi="宋体" w:eastAsia="宋体" w:cs="宋体"/>
                <w:szCs w:val="21"/>
              </w:rPr>
            </w:pPr>
            <w:r>
              <w:rPr>
                <w:rFonts w:hint="eastAsia" w:ascii="仿宋" w:hAnsi="仿宋" w:cs="仿宋"/>
              </w:rPr>
              <w:t>20</w:t>
            </w:r>
            <w:r>
              <w:rPr>
                <w:rFonts w:hint="eastAsia" w:ascii="仿宋" w:hAnsi="仿宋" w:cs="仿宋"/>
                <w:u w:val="single"/>
              </w:rPr>
              <w:t xml:space="preserve">  </w:t>
            </w:r>
            <w:r>
              <w:rPr>
                <w:rFonts w:hint="eastAsia" w:ascii="仿宋" w:hAnsi="仿宋" w:cs="仿宋"/>
                <w:b/>
              </w:rPr>
              <w:t>年度</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4" w:firstLineChars="14"/>
              <w:jc w:val="center"/>
              <w:rPr>
                <w:rFonts w:hint="eastAsia" w:ascii="仿宋" w:hAnsi="仿宋" w:cs="仿宋"/>
                <w:b/>
              </w:rPr>
            </w:pPr>
            <w:r>
              <w:rPr>
                <w:rFonts w:hint="eastAsia" w:ascii="仿宋" w:hAnsi="仿宋" w:cs="仿宋"/>
                <w:b/>
              </w:rPr>
              <w:t>3年平均数</w:t>
            </w:r>
          </w:p>
        </w:tc>
        <w:tc>
          <w:tcPr>
            <w:tcW w:w="908"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4" w:firstLineChars="14"/>
              <w:jc w:val="center"/>
              <w:rPr>
                <w:rFonts w:hint="eastAsia" w:ascii="仿宋" w:hAnsi="仿宋" w:cs="仿宋"/>
                <w:b/>
              </w:rPr>
            </w:pPr>
            <w:r>
              <w:rPr>
                <w:rFonts w:hint="eastAsia" w:ascii="仿宋" w:hAnsi="仿宋" w:cs="仿宋"/>
                <w:b/>
              </w:rPr>
              <w:t>备注</w:t>
            </w:r>
          </w:p>
        </w:tc>
      </w:tr>
      <w:tr>
        <w:tblPrEx>
          <w:tblCellMar>
            <w:top w:w="0" w:type="dxa"/>
            <w:left w:w="0" w:type="dxa"/>
            <w:bottom w:w="0" w:type="dxa"/>
            <w:right w:w="0" w:type="dxa"/>
          </w:tblCellMar>
        </w:tblPrEx>
        <w:trPr>
          <w:trHeight w:val="1913" w:hRule="atLeast"/>
        </w:trPr>
        <w:tc>
          <w:tcPr>
            <w:tcW w:w="1369" w:type="pc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4" w:firstLineChars="14"/>
              <w:jc w:val="center"/>
              <w:rPr>
                <w:rFonts w:hint="eastAsia" w:ascii="仿宋" w:hAnsi="仿宋" w:cs="仿宋"/>
                <w:b/>
              </w:rPr>
            </w:pPr>
            <w:r>
              <w:rPr>
                <w:rFonts w:hint="eastAsia" w:ascii="仿宋" w:hAnsi="仿宋" w:cs="仿宋"/>
                <w:b/>
              </w:rPr>
              <w:t>净资产总额（万元）</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679"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908"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p>
        </w:tc>
      </w:tr>
      <w:tr>
        <w:tblPrEx>
          <w:tblCellMar>
            <w:top w:w="0" w:type="dxa"/>
            <w:left w:w="0" w:type="dxa"/>
            <w:bottom w:w="0" w:type="dxa"/>
            <w:right w:w="0" w:type="dxa"/>
          </w:tblCellMar>
        </w:tblPrEx>
        <w:trPr>
          <w:trHeight w:val="1913" w:hRule="atLeast"/>
        </w:trPr>
        <w:tc>
          <w:tcPr>
            <w:tcW w:w="1369" w:type="pc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4" w:firstLineChars="14"/>
              <w:jc w:val="center"/>
              <w:rPr>
                <w:rFonts w:hint="eastAsia" w:ascii="仿宋" w:hAnsi="仿宋" w:cs="仿宋"/>
                <w:b/>
              </w:rPr>
            </w:pPr>
            <w:r>
              <w:rPr>
                <w:rFonts w:hint="eastAsia" w:ascii="仿宋" w:hAnsi="仿宋" w:cs="仿宋"/>
                <w:b/>
              </w:rPr>
              <w:t>资产负债率</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679"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680"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　</w:t>
            </w:r>
          </w:p>
        </w:tc>
        <w:tc>
          <w:tcPr>
            <w:tcW w:w="908" w:type="pct"/>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adjustRightInd w:val="0"/>
              <w:snapToGrid w:val="0"/>
              <w:spacing w:before="0" w:line="560" w:lineRule="exact"/>
              <w:ind w:firstLine="33" w:firstLineChars="14"/>
              <w:jc w:val="left"/>
              <w:rPr>
                <w:rFonts w:hint="eastAsia" w:ascii="宋体" w:hAnsi="宋体" w:eastAsia="宋体" w:cs="仿宋"/>
                <w:szCs w:val="21"/>
              </w:rPr>
            </w:pPr>
          </w:p>
        </w:tc>
      </w:tr>
    </w:tbl>
    <w:p>
      <w:pPr>
        <w:adjustRightInd w:val="0"/>
        <w:snapToGrid w:val="0"/>
        <w:spacing w:before="0" w:line="560" w:lineRule="exact"/>
        <w:ind w:firstLine="33" w:firstLineChars="14"/>
        <w:jc w:val="left"/>
        <w:rPr>
          <w:rFonts w:hint="eastAsia" w:ascii="宋体" w:hAnsi="宋体" w:eastAsia="宋体" w:cs="仿宋"/>
          <w:szCs w:val="21"/>
        </w:rPr>
      </w:pPr>
      <w:r>
        <w:rPr>
          <w:rFonts w:hint="eastAsia" w:ascii="宋体" w:hAnsi="宋体" w:eastAsia="宋体" w:cs="仿宋"/>
          <w:szCs w:val="21"/>
        </w:rPr>
        <w:t>说明：</w:t>
      </w:r>
    </w:p>
    <w:p>
      <w:pPr>
        <w:adjustRightInd w:val="0"/>
        <w:snapToGrid w:val="0"/>
        <w:spacing w:before="0" w:line="560" w:lineRule="exact"/>
        <w:ind w:firstLine="33" w:firstLineChars="14"/>
        <w:jc w:val="left"/>
        <w:rPr>
          <w:rFonts w:hint="eastAsia" w:ascii="宋体" w:hAnsi="宋体" w:eastAsia="宋体" w:cs="仿宋"/>
          <w:szCs w:val="21"/>
        </w:rPr>
      </w:pPr>
      <w:r>
        <w:rPr>
          <w:rFonts w:ascii="宋体" w:hAnsi="宋体" w:eastAsia="宋体" w:cs="仿宋"/>
          <w:szCs w:val="21"/>
        </w:rPr>
        <w:t>1.</w:t>
      </w:r>
      <w:r>
        <w:rPr>
          <w:rFonts w:hint="eastAsia" w:ascii="宋体" w:hAnsi="宋体" w:eastAsia="宋体" w:cs="仿宋"/>
          <w:szCs w:val="21"/>
        </w:rPr>
        <w:t>评审委员会审核发现《财务社保数据统计表》与《审计报告》等证明材料中数据不一致的，以证明材料实际数据为准。</w:t>
      </w:r>
    </w:p>
    <w:p>
      <w:pPr>
        <w:widowControl/>
        <w:adjustRightInd w:val="0"/>
        <w:snapToGrid w:val="0"/>
        <w:spacing w:before="0" w:line="560" w:lineRule="exact"/>
        <w:jc w:val="left"/>
        <w:rPr>
          <w:rFonts w:hint="eastAsia" w:ascii="仿宋" w:hAnsi="仿宋" w:cs="仿宋"/>
          <w:b/>
        </w:rPr>
      </w:pPr>
      <w:r>
        <w:rPr>
          <w:rFonts w:hint="eastAsia" w:ascii="仿宋" w:hAnsi="仿宋" w:cs="仿宋"/>
          <w:b/>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投标人类似项目业绩一览表</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投标人类似项目业绩一览表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1304"/>
        <w:gridCol w:w="2431"/>
        <w:gridCol w:w="2634"/>
        <w:gridCol w:w="2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tcBorders>
              <w:top w:val="single" w:color="auto" w:sz="4" w:space="0"/>
            </w:tcBorders>
            <w:vAlign w:val="center"/>
          </w:tcPr>
          <w:p>
            <w:pPr>
              <w:adjustRightInd w:val="0"/>
              <w:snapToGrid w:val="0"/>
              <w:spacing w:before="0" w:line="560" w:lineRule="exact"/>
              <w:jc w:val="center"/>
              <w:rPr>
                <w:rFonts w:hint="eastAsia" w:ascii="仿宋" w:hAnsi="仿宋" w:cs="仿宋"/>
              </w:rPr>
            </w:pPr>
            <w:r>
              <w:rPr>
                <w:rFonts w:hint="eastAsia" w:ascii="仿宋" w:hAnsi="仿宋" w:cs="仿宋"/>
              </w:rPr>
              <w:t>年份</w:t>
            </w:r>
          </w:p>
        </w:tc>
        <w:tc>
          <w:tcPr>
            <w:tcW w:w="1445"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用户名称</w:t>
            </w:r>
          </w:p>
        </w:tc>
        <w:tc>
          <w:tcPr>
            <w:tcW w:w="1566"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项目名称</w:t>
            </w:r>
          </w:p>
        </w:tc>
        <w:tc>
          <w:tcPr>
            <w:tcW w:w="1214" w:type="pct"/>
            <w:tcBorders>
              <w:left w:val="single" w:color="auto" w:sz="4" w:space="0"/>
            </w:tcBorders>
            <w:vAlign w:val="center"/>
          </w:tcPr>
          <w:p>
            <w:pPr>
              <w:adjustRightInd w:val="0"/>
              <w:snapToGrid w:val="0"/>
              <w:spacing w:before="0" w:line="560" w:lineRule="exact"/>
              <w:jc w:val="center"/>
              <w:rPr>
                <w:rFonts w:hint="eastAsia" w:ascii="仿宋" w:hAnsi="仿宋" w:cs="仿宋"/>
              </w:rPr>
            </w:pPr>
            <w:r>
              <w:rPr>
                <w:rFonts w:hint="eastAsia" w:ascii="仿宋" w:hAnsi="仿宋" w:cs="仿宋"/>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tcBorders>
              <w:righ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tcBorders>
              <w:righ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tcBorders>
              <w:left w:val="single" w:color="auto" w:sz="4" w:space="0"/>
              <w:righ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tcBorders>
              <w:left w:val="single" w:color="auto" w:sz="4" w:space="0"/>
              <w:righ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75" w:type="pct"/>
            <w:vAlign w:val="center"/>
          </w:tcPr>
          <w:p>
            <w:pPr>
              <w:adjustRightInd w:val="0"/>
              <w:snapToGrid w:val="0"/>
              <w:spacing w:before="0" w:line="560" w:lineRule="exact"/>
              <w:ind w:firstLine="480" w:firstLineChars="200"/>
              <w:jc w:val="center"/>
              <w:rPr>
                <w:rFonts w:hint="eastAsia" w:ascii="仿宋" w:hAnsi="仿宋" w:cs="仿宋"/>
              </w:rPr>
            </w:pPr>
          </w:p>
        </w:tc>
        <w:tc>
          <w:tcPr>
            <w:tcW w:w="1445" w:type="pct"/>
            <w:vAlign w:val="center"/>
          </w:tcPr>
          <w:p>
            <w:pPr>
              <w:adjustRightInd w:val="0"/>
              <w:snapToGrid w:val="0"/>
              <w:spacing w:before="0" w:line="560" w:lineRule="exact"/>
              <w:ind w:firstLine="480" w:firstLineChars="200"/>
              <w:jc w:val="center"/>
              <w:rPr>
                <w:rFonts w:hint="eastAsia" w:ascii="仿宋" w:hAnsi="仿宋" w:cs="仿宋"/>
              </w:rPr>
            </w:pPr>
          </w:p>
        </w:tc>
        <w:tc>
          <w:tcPr>
            <w:tcW w:w="1566" w:type="pct"/>
            <w:vAlign w:val="center"/>
          </w:tcPr>
          <w:p>
            <w:pPr>
              <w:adjustRightInd w:val="0"/>
              <w:snapToGrid w:val="0"/>
              <w:spacing w:before="0" w:line="560" w:lineRule="exact"/>
              <w:ind w:firstLine="480" w:firstLineChars="200"/>
              <w:jc w:val="center"/>
              <w:rPr>
                <w:rFonts w:hint="eastAsia" w:ascii="仿宋" w:hAnsi="仿宋" w:cs="仿宋"/>
              </w:rPr>
            </w:pPr>
          </w:p>
        </w:tc>
        <w:tc>
          <w:tcPr>
            <w:tcW w:w="1214" w:type="pct"/>
            <w:tcBorders>
              <w:left w:val="single" w:color="auto" w:sz="4" w:space="0"/>
            </w:tcBorders>
            <w:vAlign w:val="center"/>
          </w:tcPr>
          <w:p>
            <w:pPr>
              <w:adjustRightInd w:val="0"/>
              <w:snapToGrid w:val="0"/>
              <w:spacing w:before="0" w:line="560" w:lineRule="exact"/>
              <w:ind w:firstLine="480" w:firstLineChars="200"/>
              <w:jc w:val="center"/>
              <w:rPr>
                <w:rFonts w:hint="eastAsia" w:ascii="仿宋" w:hAnsi="仿宋" w:cs="仿宋"/>
              </w:rPr>
            </w:pPr>
          </w:p>
        </w:tc>
      </w:tr>
    </w:tbl>
    <w:p>
      <w:pPr>
        <w:adjustRightInd w:val="0"/>
        <w:snapToGrid w:val="0"/>
        <w:spacing w:before="0" w:line="560" w:lineRule="exact"/>
        <w:jc w:val="left"/>
        <w:rPr>
          <w:rFonts w:hint="eastAsia" w:ascii="仿宋" w:hAnsi="仿宋" w:cs="仿宋"/>
          <w:shd w:val="clear" w:color="auto" w:fill="FFFFFF"/>
          <w:lang w:bidi="ar"/>
        </w:rPr>
      </w:pPr>
      <w:r>
        <w:rPr>
          <w:rFonts w:hint="eastAsia" w:ascii="仿宋" w:hAnsi="仿宋" w:cs="仿宋"/>
          <w:shd w:val="clear" w:color="auto" w:fill="FFFFFF"/>
          <w:lang w:bidi="ar"/>
        </w:rPr>
        <w:t>提供近五年</w:t>
      </w:r>
      <w:r>
        <w:rPr>
          <w:rFonts w:hint="eastAsia" w:ascii="仿宋" w:hAnsi="仿宋" w:cs="仿宋"/>
        </w:rPr>
        <w:t>（20</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日至今）相关项目实施材料。</w:t>
      </w:r>
    </w:p>
    <w:p>
      <w:pPr>
        <w:widowControl/>
        <w:adjustRightInd w:val="0"/>
        <w:snapToGrid w:val="0"/>
        <w:spacing w:before="0" w:line="560" w:lineRule="exact"/>
        <w:jc w:val="left"/>
        <w:rPr>
          <w:rFonts w:hint="eastAsia" w:ascii="仿宋" w:hAnsi="仿宋" w:cs="仿宋"/>
          <w:shd w:val="clear" w:color="auto" w:fill="FFFFFF"/>
          <w:lang w:bidi="ar"/>
        </w:rPr>
      </w:pPr>
      <w:r>
        <w:rPr>
          <w:rFonts w:hint="eastAsia" w:ascii="仿宋" w:hAnsi="仿宋" w:cs="仿宋"/>
          <w:shd w:val="clear" w:color="auto" w:fill="FFFFFF"/>
          <w:lang w:bidi="ar"/>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投标人本项目人员情况表</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投标人本项目人员情况表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845"/>
        <w:gridCol w:w="810"/>
        <w:gridCol w:w="1012"/>
        <w:gridCol w:w="1012"/>
        <w:gridCol w:w="1012"/>
        <w:gridCol w:w="950"/>
        <w:gridCol w:w="838"/>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306"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类别</w:t>
            </w:r>
          </w:p>
        </w:tc>
        <w:tc>
          <w:tcPr>
            <w:tcW w:w="495"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职务</w:t>
            </w:r>
          </w:p>
        </w:tc>
        <w:tc>
          <w:tcPr>
            <w:tcW w:w="475"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姓名</w:t>
            </w:r>
          </w:p>
        </w:tc>
        <w:tc>
          <w:tcPr>
            <w:tcW w:w="593"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性别</w:t>
            </w:r>
          </w:p>
        </w:tc>
        <w:tc>
          <w:tcPr>
            <w:tcW w:w="593"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年龄</w:t>
            </w:r>
          </w:p>
        </w:tc>
        <w:tc>
          <w:tcPr>
            <w:tcW w:w="593"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职称</w:t>
            </w:r>
          </w:p>
        </w:tc>
        <w:tc>
          <w:tcPr>
            <w:tcW w:w="557"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常住地</w:t>
            </w:r>
          </w:p>
        </w:tc>
        <w:tc>
          <w:tcPr>
            <w:tcW w:w="491"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专业</w:t>
            </w:r>
          </w:p>
        </w:tc>
        <w:tc>
          <w:tcPr>
            <w:tcW w:w="890" w:type="pct"/>
            <w:vAlign w:val="center"/>
          </w:tcPr>
          <w:p>
            <w:pPr>
              <w:adjustRightInd w:val="0"/>
              <w:snapToGrid w:val="0"/>
              <w:spacing w:before="0" w:line="560" w:lineRule="exact"/>
              <w:jc w:val="center"/>
              <w:rPr>
                <w:rFonts w:hint="eastAsia" w:ascii="仿宋" w:hAnsi="仿宋" w:cs="仿宋"/>
              </w:rPr>
            </w:pPr>
            <w:r>
              <w:rPr>
                <w:rFonts w:hint="eastAsia" w:ascii="仿宋" w:hAnsi="仿宋" w:cs="仿宋"/>
              </w:rPr>
              <w:t>拟在本项目中担任的工作或岗位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306" w:type="pct"/>
            <w:vMerge w:val="restart"/>
            <w:vAlign w:val="center"/>
          </w:tcPr>
          <w:p>
            <w:pPr>
              <w:adjustRightInd w:val="0"/>
              <w:snapToGrid w:val="0"/>
              <w:spacing w:before="0" w:line="560" w:lineRule="exact"/>
              <w:jc w:val="center"/>
              <w:rPr>
                <w:rFonts w:hint="eastAsia" w:ascii="仿宋" w:hAnsi="仿宋" w:cs="仿宋"/>
              </w:rPr>
            </w:pPr>
            <w:r>
              <w:rPr>
                <w:rFonts w:hint="eastAsia" w:ascii="仿宋" w:hAnsi="仿宋" w:cs="仿宋"/>
              </w:rPr>
              <w:t>管理人员</w:t>
            </w:r>
          </w:p>
        </w:tc>
        <w:tc>
          <w:tcPr>
            <w:tcW w:w="495" w:type="pct"/>
            <w:vAlign w:val="center"/>
          </w:tcPr>
          <w:p>
            <w:pPr>
              <w:adjustRightInd w:val="0"/>
              <w:snapToGrid w:val="0"/>
              <w:spacing w:before="0" w:line="560" w:lineRule="exact"/>
              <w:ind w:firstLine="480" w:firstLineChars="200"/>
              <w:jc w:val="center"/>
              <w:rPr>
                <w:rFonts w:hint="eastAsia" w:ascii="仿宋" w:hAnsi="仿宋" w:cs="仿宋"/>
              </w:rPr>
            </w:pPr>
          </w:p>
        </w:tc>
        <w:tc>
          <w:tcPr>
            <w:tcW w:w="475"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57" w:type="pct"/>
            <w:vAlign w:val="center"/>
          </w:tcPr>
          <w:p>
            <w:pPr>
              <w:adjustRightInd w:val="0"/>
              <w:snapToGrid w:val="0"/>
              <w:spacing w:before="0" w:line="560" w:lineRule="exact"/>
              <w:ind w:firstLine="480" w:firstLineChars="200"/>
              <w:jc w:val="center"/>
              <w:rPr>
                <w:rFonts w:hint="eastAsia" w:ascii="仿宋" w:hAnsi="仿宋" w:cs="仿宋"/>
              </w:rPr>
            </w:pPr>
          </w:p>
        </w:tc>
        <w:tc>
          <w:tcPr>
            <w:tcW w:w="491" w:type="pct"/>
            <w:vAlign w:val="center"/>
          </w:tcPr>
          <w:p>
            <w:pPr>
              <w:adjustRightInd w:val="0"/>
              <w:snapToGrid w:val="0"/>
              <w:spacing w:before="0" w:line="560" w:lineRule="exact"/>
              <w:ind w:firstLine="480" w:firstLineChars="200"/>
              <w:jc w:val="center"/>
              <w:rPr>
                <w:rFonts w:hint="eastAsia" w:ascii="仿宋" w:hAnsi="仿宋" w:cs="仿宋"/>
              </w:rPr>
            </w:pPr>
          </w:p>
        </w:tc>
        <w:tc>
          <w:tcPr>
            <w:tcW w:w="890" w:type="pct"/>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06" w:type="pct"/>
            <w:vMerge w:val="continue"/>
            <w:vAlign w:val="center"/>
          </w:tcPr>
          <w:p>
            <w:pPr>
              <w:adjustRightInd w:val="0"/>
              <w:snapToGrid w:val="0"/>
              <w:spacing w:before="0" w:line="560" w:lineRule="exact"/>
              <w:ind w:firstLine="480" w:firstLineChars="200"/>
              <w:jc w:val="center"/>
              <w:rPr>
                <w:rFonts w:hint="eastAsia" w:ascii="仿宋" w:hAnsi="仿宋" w:cs="仿宋"/>
              </w:rPr>
            </w:pPr>
          </w:p>
        </w:tc>
        <w:tc>
          <w:tcPr>
            <w:tcW w:w="495" w:type="pct"/>
            <w:vAlign w:val="center"/>
          </w:tcPr>
          <w:p>
            <w:pPr>
              <w:adjustRightInd w:val="0"/>
              <w:snapToGrid w:val="0"/>
              <w:spacing w:before="0" w:line="560" w:lineRule="exact"/>
              <w:ind w:firstLine="480" w:firstLineChars="200"/>
              <w:jc w:val="center"/>
              <w:rPr>
                <w:rFonts w:hint="eastAsia" w:ascii="仿宋" w:hAnsi="仿宋" w:cs="仿宋"/>
              </w:rPr>
            </w:pPr>
          </w:p>
        </w:tc>
        <w:tc>
          <w:tcPr>
            <w:tcW w:w="475"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57" w:type="pct"/>
            <w:vAlign w:val="center"/>
          </w:tcPr>
          <w:p>
            <w:pPr>
              <w:adjustRightInd w:val="0"/>
              <w:snapToGrid w:val="0"/>
              <w:spacing w:before="0" w:line="560" w:lineRule="exact"/>
              <w:ind w:firstLine="480" w:firstLineChars="200"/>
              <w:jc w:val="center"/>
              <w:rPr>
                <w:rFonts w:hint="eastAsia" w:ascii="仿宋" w:hAnsi="仿宋" w:cs="仿宋"/>
              </w:rPr>
            </w:pPr>
          </w:p>
        </w:tc>
        <w:tc>
          <w:tcPr>
            <w:tcW w:w="491" w:type="pct"/>
            <w:vAlign w:val="center"/>
          </w:tcPr>
          <w:p>
            <w:pPr>
              <w:adjustRightInd w:val="0"/>
              <w:snapToGrid w:val="0"/>
              <w:spacing w:before="0" w:line="560" w:lineRule="exact"/>
              <w:ind w:firstLine="480" w:firstLineChars="200"/>
              <w:jc w:val="center"/>
              <w:rPr>
                <w:rFonts w:hint="eastAsia" w:ascii="仿宋" w:hAnsi="仿宋" w:cs="仿宋"/>
              </w:rPr>
            </w:pPr>
          </w:p>
        </w:tc>
        <w:tc>
          <w:tcPr>
            <w:tcW w:w="890" w:type="pct"/>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306" w:type="pct"/>
            <w:vMerge w:val="continue"/>
            <w:vAlign w:val="center"/>
          </w:tcPr>
          <w:p>
            <w:pPr>
              <w:adjustRightInd w:val="0"/>
              <w:snapToGrid w:val="0"/>
              <w:spacing w:before="0" w:line="560" w:lineRule="exact"/>
              <w:ind w:firstLine="480" w:firstLineChars="200"/>
              <w:jc w:val="center"/>
              <w:rPr>
                <w:rFonts w:hint="eastAsia" w:ascii="仿宋" w:hAnsi="仿宋" w:cs="仿宋"/>
              </w:rPr>
            </w:pPr>
          </w:p>
        </w:tc>
        <w:tc>
          <w:tcPr>
            <w:tcW w:w="495" w:type="pct"/>
            <w:vAlign w:val="center"/>
          </w:tcPr>
          <w:p>
            <w:pPr>
              <w:adjustRightInd w:val="0"/>
              <w:snapToGrid w:val="0"/>
              <w:spacing w:before="0" w:line="560" w:lineRule="exact"/>
              <w:ind w:firstLine="480" w:firstLineChars="200"/>
              <w:jc w:val="center"/>
              <w:rPr>
                <w:rFonts w:hint="eastAsia" w:ascii="仿宋" w:hAnsi="仿宋" w:cs="仿宋"/>
              </w:rPr>
            </w:pPr>
          </w:p>
        </w:tc>
        <w:tc>
          <w:tcPr>
            <w:tcW w:w="475"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57" w:type="pct"/>
            <w:vAlign w:val="center"/>
          </w:tcPr>
          <w:p>
            <w:pPr>
              <w:adjustRightInd w:val="0"/>
              <w:snapToGrid w:val="0"/>
              <w:spacing w:before="0" w:line="560" w:lineRule="exact"/>
              <w:ind w:firstLine="480" w:firstLineChars="200"/>
              <w:jc w:val="center"/>
              <w:rPr>
                <w:rFonts w:hint="eastAsia" w:ascii="仿宋" w:hAnsi="仿宋" w:cs="仿宋"/>
              </w:rPr>
            </w:pPr>
          </w:p>
        </w:tc>
        <w:tc>
          <w:tcPr>
            <w:tcW w:w="491" w:type="pct"/>
            <w:vAlign w:val="center"/>
          </w:tcPr>
          <w:p>
            <w:pPr>
              <w:adjustRightInd w:val="0"/>
              <w:snapToGrid w:val="0"/>
              <w:spacing w:before="0" w:line="560" w:lineRule="exact"/>
              <w:ind w:firstLine="480" w:firstLineChars="200"/>
              <w:jc w:val="center"/>
              <w:rPr>
                <w:rFonts w:hint="eastAsia" w:ascii="仿宋" w:hAnsi="仿宋" w:cs="仿宋"/>
              </w:rPr>
            </w:pPr>
          </w:p>
        </w:tc>
        <w:tc>
          <w:tcPr>
            <w:tcW w:w="890" w:type="pct"/>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06" w:type="pct"/>
            <w:vMerge w:val="restart"/>
            <w:vAlign w:val="center"/>
          </w:tcPr>
          <w:p>
            <w:pPr>
              <w:adjustRightInd w:val="0"/>
              <w:snapToGrid w:val="0"/>
              <w:spacing w:before="0" w:line="560" w:lineRule="exact"/>
              <w:jc w:val="center"/>
              <w:rPr>
                <w:rFonts w:hint="eastAsia" w:ascii="仿宋" w:hAnsi="仿宋" w:cs="仿宋"/>
              </w:rPr>
            </w:pPr>
            <w:r>
              <w:rPr>
                <w:rFonts w:hint="eastAsia" w:ascii="仿宋" w:hAnsi="仿宋" w:cs="仿宋"/>
              </w:rPr>
              <w:t>其他人员</w:t>
            </w:r>
          </w:p>
        </w:tc>
        <w:tc>
          <w:tcPr>
            <w:tcW w:w="495" w:type="pct"/>
            <w:vAlign w:val="center"/>
          </w:tcPr>
          <w:p>
            <w:pPr>
              <w:adjustRightInd w:val="0"/>
              <w:snapToGrid w:val="0"/>
              <w:spacing w:before="0" w:line="560" w:lineRule="exact"/>
              <w:ind w:firstLine="480" w:firstLineChars="200"/>
              <w:jc w:val="center"/>
              <w:rPr>
                <w:rFonts w:hint="eastAsia" w:ascii="仿宋" w:hAnsi="仿宋" w:cs="仿宋"/>
              </w:rPr>
            </w:pPr>
          </w:p>
        </w:tc>
        <w:tc>
          <w:tcPr>
            <w:tcW w:w="475"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57" w:type="pct"/>
            <w:vAlign w:val="center"/>
          </w:tcPr>
          <w:p>
            <w:pPr>
              <w:adjustRightInd w:val="0"/>
              <w:snapToGrid w:val="0"/>
              <w:spacing w:before="0" w:line="560" w:lineRule="exact"/>
              <w:ind w:firstLine="480" w:firstLineChars="200"/>
              <w:jc w:val="center"/>
              <w:rPr>
                <w:rFonts w:hint="eastAsia" w:ascii="仿宋" w:hAnsi="仿宋" w:cs="仿宋"/>
              </w:rPr>
            </w:pPr>
          </w:p>
        </w:tc>
        <w:tc>
          <w:tcPr>
            <w:tcW w:w="491" w:type="pct"/>
            <w:vAlign w:val="center"/>
          </w:tcPr>
          <w:p>
            <w:pPr>
              <w:adjustRightInd w:val="0"/>
              <w:snapToGrid w:val="0"/>
              <w:spacing w:before="0" w:line="560" w:lineRule="exact"/>
              <w:ind w:firstLine="480" w:firstLineChars="200"/>
              <w:jc w:val="center"/>
              <w:rPr>
                <w:rFonts w:hint="eastAsia" w:ascii="仿宋" w:hAnsi="仿宋" w:cs="仿宋"/>
              </w:rPr>
            </w:pPr>
          </w:p>
        </w:tc>
        <w:tc>
          <w:tcPr>
            <w:tcW w:w="890" w:type="pct"/>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306" w:type="pct"/>
            <w:vMerge w:val="continue"/>
            <w:vAlign w:val="center"/>
          </w:tcPr>
          <w:p>
            <w:pPr>
              <w:adjustRightInd w:val="0"/>
              <w:snapToGrid w:val="0"/>
              <w:spacing w:before="0" w:line="560" w:lineRule="exact"/>
              <w:ind w:firstLine="480" w:firstLineChars="200"/>
              <w:jc w:val="center"/>
              <w:rPr>
                <w:rFonts w:hint="eastAsia" w:ascii="仿宋" w:hAnsi="仿宋" w:cs="仿宋"/>
              </w:rPr>
            </w:pPr>
          </w:p>
        </w:tc>
        <w:tc>
          <w:tcPr>
            <w:tcW w:w="495" w:type="pct"/>
            <w:vAlign w:val="center"/>
          </w:tcPr>
          <w:p>
            <w:pPr>
              <w:adjustRightInd w:val="0"/>
              <w:snapToGrid w:val="0"/>
              <w:spacing w:before="0" w:line="560" w:lineRule="exact"/>
              <w:ind w:firstLine="480" w:firstLineChars="200"/>
              <w:jc w:val="center"/>
              <w:rPr>
                <w:rFonts w:hint="eastAsia" w:ascii="仿宋" w:hAnsi="仿宋" w:cs="仿宋"/>
              </w:rPr>
            </w:pPr>
          </w:p>
        </w:tc>
        <w:tc>
          <w:tcPr>
            <w:tcW w:w="475"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57" w:type="pct"/>
            <w:vAlign w:val="center"/>
          </w:tcPr>
          <w:p>
            <w:pPr>
              <w:adjustRightInd w:val="0"/>
              <w:snapToGrid w:val="0"/>
              <w:spacing w:before="0" w:line="560" w:lineRule="exact"/>
              <w:ind w:firstLine="480" w:firstLineChars="200"/>
              <w:jc w:val="center"/>
              <w:rPr>
                <w:rFonts w:hint="eastAsia" w:ascii="仿宋" w:hAnsi="仿宋" w:cs="仿宋"/>
              </w:rPr>
            </w:pPr>
          </w:p>
        </w:tc>
        <w:tc>
          <w:tcPr>
            <w:tcW w:w="491" w:type="pct"/>
            <w:vAlign w:val="center"/>
          </w:tcPr>
          <w:p>
            <w:pPr>
              <w:adjustRightInd w:val="0"/>
              <w:snapToGrid w:val="0"/>
              <w:spacing w:before="0" w:line="560" w:lineRule="exact"/>
              <w:ind w:firstLine="480" w:firstLineChars="200"/>
              <w:jc w:val="center"/>
              <w:rPr>
                <w:rFonts w:hint="eastAsia" w:ascii="仿宋" w:hAnsi="仿宋" w:cs="仿宋"/>
              </w:rPr>
            </w:pPr>
          </w:p>
        </w:tc>
        <w:tc>
          <w:tcPr>
            <w:tcW w:w="890" w:type="pct"/>
            <w:vAlign w:val="center"/>
          </w:tcPr>
          <w:p>
            <w:pPr>
              <w:adjustRightInd w:val="0"/>
              <w:snapToGrid w:val="0"/>
              <w:spacing w:before="0" w:line="560" w:lineRule="exact"/>
              <w:ind w:firstLine="480" w:firstLineChars="200"/>
              <w:jc w:val="center"/>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06" w:type="pct"/>
            <w:vMerge w:val="continue"/>
            <w:vAlign w:val="center"/>
          </w:tcPr>
          <w:p>
            <w:pPr>
              <w:adjustRightInd w:val="0"/>
              <w:snapToGrid w:val="0"/>
              <w:spacing w:before="0" w:line="560" w:lineRule="exact"/>
              <w:ind w:firstLine="480" w:firstLineChars="200"/>
              <w:jc w:val="center"/>
              <w:rPr>
                <w:rFonts w:hint="eastAsia" w:ascii="仿宋" w:hAnsi="仿宋" w:cs="仿宋"/>
              </w:rPr>
            </w:pPr>
          </w:p>
        </w:tc>
        <w:tc>
          <w:tcPr>
            <w:tcW w:w="495" w:type="pct"/>
            <w:vAlign w:val="center"/>
          </w:tcPr>
          <w:p>
            <w:pPr>
              <w:adjustRightInd w:val="0"/>
              <w:snapToGrid w:val="0"/>
              <w:spacing w:before="0" w:line="560" w:lineRule="exact"/>
              <w:ind w:firstLine="480" w:firstLineChars="200"/>
              <w:jc w:val="center"/>
              <w:rPr>
                <w:rFonts w:hint="eastAsia" w:ascii="仿宋" w:hAnsi="仿宋" w:cs="仿宋"/>
              </w:rPr>
            </w:pPr>
          </w:p>
        </w:tc>
        <w:tc>
          <w:tcPr>
            <w:tcW w:w="475"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93" w:type="pct"/>
            <w:vAlign w:val="center"/>
          </w:tcPr>
          <w:p>
            <w:pPr>
              <w:adjustRightInd w:val="0"/>
              <w:snapToGrid w:val="0"/>
              <w:spacing w:before="0" w:line="560" w:lineRule="exact"/>
              <w:ind w:firstLine="480" w:firstLineChars="200"/>
              <w:jc w:val="center"/>
              <w:rPr>
                <w:rFonts w:hint="eastAsia" w:ascii="仿宋" w:hAnsi="仿宋" w:cs="仿宋"/>
              </w:rPr>
            </w:pPr>
          </w:p>
        </w:tc>
        <w:tc>
          <w:tcPr>
            <w:tcW w:w="557" w:type="pct"/>
            <w:vAlign w:val="center"/>
          </w:tcPr>
          <w:p>
            <w:pPr>
              <w:adjustRightInd w:val="0"/>
              <w:snapToGrid w:val="0"/>
              <w:spacing w:before="0" w:line="560" w:lineRule="exact"/>
              <w:ind w:firstLine="480" w:firstLineChars="200"/>
              <w:jc w:val="center"/>
              <w:rPr>
                <w:rFonts w:hint="eastAsia" w:ascii="仿宋" w:hAnsi="仿宋" w:cs="仿宋"/>
              </w:rPr>
            </w:pPr>
          </w:p>
        </w:tc>
        <w:tc>
          <w:tcPr>
            <w:tcW w:w="491" w:type="pct"/>
            <w:vAlign w:val="center"/>
          </w:tcPr>
          <w:p>
            <w:pPr>
              <w:adjustRightInd w:val="0"/>
              <w:snapToGrid w:val="0"/>
              <w:spacing w:before="0" w:line="560" w:lineRule="exact"/>
              <w:ind w:firstLine="480" w:firstLineChars="200"/>
              <w:jc w:val="center"/>
              <w:rPr>
                <w:rFonts w:hint="eastAsia" w:ascii="仿宋" w:hAnsi="仿宋" w:cs="仿宋"/>
              </w:rPr>
            </w:pPr>
          </w:p>
        </w:tc>
        <w:tc>
          <w:tcPr>
            <w:tcW w:w="890" w:type="pct"/>
            <w:vAlign w:val="center"/>
          </w:tcPr>
          <w:p>
            <w:pPr>
              <w:adjustRightInd w:val="0"/>
              <w:snapToGrid w:val="0"/>
              <w:spacing w:before="0" w:line="560" w:lineRule="exact"/>
              <w:ind w:firstLine="480" w:firstLineChars="200"/>
              <w:jc w:val="center"/>
              <w:rPr>
                <w:rFonts w:hint="eastAsia" w:ascii="仿宋" w:hAnsi="仿宋" w:cs="仿宋"/>
              </w:rPr>
            </w:pPr>
          </w:p>
        </w:tc>
      </w:tr>
    </w:tbl>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备注：与资格预审申请文件人员一致，附人员学历证、职称证书（如有）、资格证书（如有）。</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投标人名称：（单位公章）</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法定代表人或授权代表：（签字）</w:t>
      </w:r>
    </w:p>
    <w:p>
      <w:pPr>
        <w:adjustRightInd w:val="0"/>
        <w:snapToGrid w:val="0"/>
        <w:spacing w:before="0" w:line="560" w:lineRule="exact"/>
        <w:ind w:firstLine="480" w:firstLineChars="200"/>
        <w:jc w:val="left"/>
        <w:rPr>
          <w:rFonts w:hint="eastAsia" w:ascii="仿宋" w:hAnsi="仿宋" w:cs="仿宋"/>
        </w:rPr>
      </w:pPr>
      <w:r>
        <w:rPr>
          <w:rFonts w:hint="eastAsia" w:ascii="仿宋" w:hAnsi="仿宋" w:cs="仿宋"/>
        </w:rPr>
        <w:t>日期： 年 月 日</w:t>
      </w:r>
    </w:p>
    <w:p>
      <w:pPr>
        <w:adjustRightInd w:val="0"/>
        <w:snapToGrid w:val="0"/>
        <w:spacing w:before="0" w:line="560" w:lineRule="exact"/>
        <w:ind w:firstLine="33" w:firstLineChars="14"/>
        <w:jc w:val="left"/>
        <w:rPr>
          <w:rFonts w:hint="eastAsia" w:ascii="宋体" w:hAnsi="宋体" w:eastAsia="宋体" w:cs="仿宋"/>
          <w:szCs w:val="21"/>
        </w:rPr>
      </w:pPr>
      <w:r>
        <w:rPr>
          <w:rFonts w:ascii="宋体" w:hAnsi="宋体" w:eastAsia="宋体" w:cs="仿宋"/>
          <w:szCs w:val="21"/>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其他商务文件和资料</w:t>
      </w:r>
    </w:p>
    <w:p>
      <w:pPr>
        <w:adjustRightInd w:val="0"/>
        <w:snapToGrid w:val="0"/>
        <w:spacing w:before="0" w:line="560" w:lineRule="exact"/>
        <w:ind w:firstLine="897" w:firstLineChars="374"/>
        <w:rPr>
          <w:rFonts w:hint="eastAsia" w:ascii="仿宋" w:hAnsi="仿宋" w:cs="仿宋"/>
        </w:rPr>
      </w:pPr>
      <w:r>
        <w:rPr>
          <w:rFonts w:hint="eastAsia" w:ascii="仿宋" w:hAnsi="仿宋" w:cs="仿宋"/>
        </w:rPr>
        <w:t>依据第三章评标办法商务部分评审内容补充资料</w:t>
      </w:r>
    </w:p>
    <w:p>
      <w:pPr>
        <w:adjustRightInd w:val="0"/>
        <w:snapToGrid w:val="0"/>
        <w:spacing w:before="0" w:line="560" w:lineRule="exact"/>
        <w:ind w:firstLine="33" w:firstLineChars="14"/>
        <w:jc w:val="left"/>
        <w:rPr>
          <w:rFonts w:hint="eastAsia" w:ascii="宋体" w:hAnsi="宋体" w:eastAsia="宋体" w:cs="仿宋"/>
          <w:szCs w:val="21"/>
        </w:rPr>
      </w:pPr>
    </w:p>
    <w:p>
      <w:pPr>
        <w:adjustRightInd w:val="0"/>
        <w:snapToGrid w:val="0"/>
        <w:spacing w:before="0" w:line="560" w:lineRule="exact"/>
        <w:ind w:firstLine="33" w:firstLineChars="14"/>
        <w:jc w:val="left"/>
        <w:rPr>
          <w:rFonts w:hint="eastAsia" w:ascii="宋体" w:hAnsi="宋体" w:eastAsia="宋体" w:cs="仿宋"/>
          <w:szCs w:val="21"/>
        </w:rPr>
      </w:pPr>
      <w:r>
        <w:rPr>
          <w:rFonts w:ascii="宋体" w:hAnsi="宋体" w:eastAsia="宋体" w:cs="仿宋"/>
          <w:szCs w:val="21"/>
        </w:rPr>
        <w:br w:type="page"/>
      </w:r>
    </w:p>
    <w:p>
      <w:pPr>
        <w:numPr>
          <w:ilvl w:val="0"/>
          <w:numId w:val="10"/>
        </w:numPr>
        <w:adjustRightInd w:val="0"/>
        <w:snapToGrid w:val="0"/>
        <w:spacing w:before="0" w:line="560" w:lineRule="exact"/>
        <w:jc w:val="left"/>
        <w:outlineLvl w:val="3"/>
        <w:rPr>
          <w:rFonts w:hint="eastAsia" w:ascii="仿宋" w:hAnsi="仿宋" w:cs="仿宋"/>
          <w:b/>
        </w:rPr>
      </w:pPr>
      <w:r>
        <w:rPr>
          <w:rFonts w:hint="eastAsia" w:ascii="仿宋" w:hAnsi="仿宋" w:cs="仿宋"/>
          <w:b/>
        </w:rPr>
        <w:t>技术方案及服务方案</w:t>
      </w:r>
    </w:p>
    <w:p>
      <w:pPr>
        <w:adjustRightInd w:val="0"/>
        <w:snapToGrid w:val="0"/>
        <w:spacing w:before="0" w:line="560" w:lineRule="exact"/>
        <w:jc w:val="center"/>
        <w:rPr>
          <w:rFonts w:hint="eastAsia" w:ascii="等线" w:hAnsi="等线" w:eastAsia="黑体" w:cs="Times New Roman"/>
          <w:b/>
          <w:bCs/>
          <w:kern w:val="28"/>
          <w:sz w:val="32"/>
          <w:szCs w:val="32"/>
        </w:rPr>
      </w:pPr>
      <w:r>
        <w:rPr>
          <w:rFonts w:hint="eastAsia" w:ascii="等线" w:hAnsi="等线" w:eastAsia="黑体" w:cs="Times New Roman"/>
          <w:b/>
          <w:bCs/>
          <w:kern w:val="28"/>
          <w:sz w:val="32"/>
          <w:szCs w:val="32"/>
        </w:rPr>
        <w:t>技术方案及服务方案</w:t>
      </w:r>
    </w:p>
    <w:p>
      <w:pPr>
        <w:adjustRightInd w:val="0"/>
        <w:snapToGrid w:val="0"/>
        <w:spacing w:before="0" w:line="560" w:lineRule="exact"/>
        <w:ind w:firstLine="480" w:firstLineChars="200"/>
        <w:jc w:val="center"/>
        <w:rPr>
          <w:rFonts w:hint="eastAsia" w:ascii="仿宋" w:hAnsi="仿宋" w:cs="仿宋"/>
        </w:rPr>
      </w:pPr>
      <w:r>
        <w:rPr>
          <w:rFonts w:hint="eastAsia" w:ascii="仿宋" w:hAnsi="仿宋" w:cs="仿宋"/>
        </w:rPr>
        <w:t>依据第三章评标办法技术部分评审内容自行编写，格式自拟</w:t>
      </w:r>
    </w:p>
    <w:p>
      <w:pPr>
        <w:adjustRightInd w:val="0"/>
        <w:snapToGrid w:val="0"/>
        <w:spacing w:before="0" w:line="560" w:lineRule="exact"/>
        <w:rPr>
          <w:rFonts w:hint="eastAsia" w:ascii="仿宋" w:hAnsi="仿宋" w:cs="仿宋"/>
          <w:color w:val="070BB9"/>
        </w:rPr>
      </w:pPr>
      <w:r>
        <w:rPr>
          <w:rFonts w:hint="eastAsia" w:ascii="仿宋" w:hAnsi="仿宋" w:cs="仿宋"/>
          <w:color w:val="070BB9"/>
        </w:rPr>
        <w:br w:type="page"/>
      </w:r>
    </w:p>
    <w:p>
      <w:pPr>
        <w:pStyle w:val="2"/>
        <w:numPr>
          <w:ilvl w:val="0"/>
          <w:numId w:val="1"/>
        </w:numPr>
        <w:adjustRightInd w:val="0"/>
        <w:snapToGrid w:val="0"/>
        <w:spacing w:before="0" w:beforeLines="0" w:line="560" w:lineRule="exact"/>
        <w:jc w:val="center"/>
        <w:rPr>
          <w:rFonts w:ascii="Times New Roman" w:hAnsi="Times New Roman" w:cs="Times New Roman"/>
        </w:rPr>
      </w:pPr>
      <w:bookmarkStart w:id="28" w:name="_Hlk227917141"/>
      <w:r>
        <w:rPr>
          <w:rFonts w:hint="eastAsia" w:ascii="Times New Roman" w:hAnsi="Times New Roman" w:cs="Times New Roman"/>
        </w:rPr>
        <w:t xml:space="preserve"> </w:t>
      </w:r>
      <w:bookmarkStart w:id="29" w:name="_Toc823676111"/>
      <w:bookmarkStart w:id="30" w:name="_Toc28156"/>
      <w:r>
        <w:rPr>
          <w:rFonts w:hint="eastAsia" w:ascii="Times New Roman" w:hAnsi="Times New Roman" w:cs="Times New Roman"/>
        </w:rPr>
        <w:t>合同范本</w:t>
      </w:r>
      <w:bookmarkEnd w:id="29"/>
      <w:bookmarkEnd w:id="30"/>
    </w:p>
    <w:p>
      <w:pPr>
        <w:adjustRightInd w:val="0"/>
        <w:snapToGrid w:val="0"/>
        <w:spacing w:before="0" w:line="560" w:lineRule="exact"/>
        <w:ind w:firstLine="1044" w:firstLineChars="200"/>
        <w:jc w:val="center"/>
        <w:rPr>
          <w:rFonts w:hint="eastAsia" w:ascii="仿宋" w:hAnsi="仿宋" w:cs="仿宋"/>
          <w:b/>
          <w:sz w:val="52"/>
        </w:rPr>
      </w:pPr>
    </w:p>
    <w:p>
      <w:pPr>
        <w:adjustRightInd w:val="0"/>
        <w:snapToGrid w:val="0"/>
        <w:spacing w:before="0" w:line="560" w:lineRule="exact"/>
        <w:ind w:firstLine="1044" w:firstLineChars="200"/>
        <w:jc w:val="center"/>
        <w:rPr>
          <w:rFonts w:hint="eastAsia" w:ascii="仿宋" w:hAnsi="仿宋" w:cs="仿宋"/>
          <w:b/>
          <w:sz w:val="52"/>
        </w:rPr>
      </w:pPr>
    </w:p>
    <w:p>
      <w:pPr>
        <w:adjustRightInd w:val="0"/>
        <w:snapToGrid w:val="0"/>
        <w:spacing w:before="0" w:line="560" w:lineRule="exact"/>
        <w:textAlignment w:val="baseline"/>
        <w:rPr>
          <w:rFonts w:hint="eastAsia" w:ascii="仿宋" w:hAnsi="仿宋" w:cs="仿宋"/>
          <w:sz w:val="52"/>
          <w:szCs w:val="52"/>
        </w:rPr>
      </w:pPr>
    </w:p>
    <w:p>
      <w:pPr>
        <w:adjustRightInd w:val="0"/>
        <w:snapToGrid w:val="0"/>
        <w:spacing w:before="0" w:line="560" w:lineRule="exact"/>
        <w:jc w:val="center"/>
        <w:textAlignment w:val="baseline"/>
        <w:rPr>
          <w:rFonts w:hint="eastAsia" w:ascii="仿宋" w:hAnsi="仿宋" w:cs="仿宋"/>
          <w:b/>
          <w:bCs/>
          <w:sz w:val="52"/>
          <w:szCs w:val="52"/>
        </w:rPr>
      </w:pPr>
      <w:r>
        <w:rPr>
          <w:rFonts w:hint="eastAsia" w:ascii="仿宋" w:hAnsi="仿宋" w:cs="仿宋"/>
          <w:b/>
          <w:bCs/>
          <w:sz w:val="52"/>
          <w:szCs w:val="52"/>
        </w:rPr>
        <w:t>技术</w:t>
      </w:r>
      <w:r>
        <w:rPr>
          <w:rFonts w:hint="eastAsia" w:ascii="仿宋" w:hAnsi="仿宋" w:cs="仿宋"/>
          <w:b/>
          <w:bCs/>
          <w:sz w:val="52"/>
          <w:szCs w:val="52"/>
          <w:lang w:eastAsia="zh"/>
        </w:rPr>
        <w:t>咨询</w:t>
      </w:r>
      <w:r>
        <w:rPr>
          <w:rFonts w:hint="eastAsia" w:ascii="仿宋" w:hAnsi="仿宋" w:cs="仿宋"/>
          <w:b/>
          <w:bCs/>
          <w:sz w:val="52"/>
          <w:szCs w:val="52"/>
        </w:rPr>
        <w:t>服务合同</w:t>
      </w:r>
    </w:p>
    <w:p>
      <w:pPr>
        <w:adjustRightInd w:val="0"/>
        <w:snapToGrid w:val="0"/>
        <w:spacing w:before="0" w:line="560" w:lineRule="exact"/>
        <w:jc w:val="center"/>
        <w:rPr>
          <w:rFonts w:hint="eastAsia" w:ascii="仿宋" w:hAnsi="仿宋" w:cs="仿宋"/>
          <w:sz w:val="28"/>
        </w:rPr>
      </w:pPr>
      <w:r>
        <w:rPr>
          <w:rFonts w:hint="eastAsia" w:ascii="仿宋" w:hAnsi="仿宋" w:cs="仿宋"/>
          <w:sz w:val="28"/>
        </w:rPr>
        <w:t>合同编号：</w:t>
      </w: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jc w:val="left"/>
        <w:rPr>
          <w:rFonts w:hint="eastAsia" w:ascii="仿宋" w:hAnsi="仿宋" w:cs="仿宋"/>
        </w:rPr>
      </w:pPr>
    </w:p>
    <w:p>
      <w:pPr>
        <w:adjustRightInd w:val="0"/>
        <w:snapToGrid w:val="0"/>
        <w:spacing w:before="0" w:line="560" w:lineRule="exact"/>
        <w:ind w:left="1707" w:hanging="1707" w:hangingChars="500"/>
        <w:jc w:val="left"/>
        <w:rPr>
          <w:rFonts w:hint="eastAsia" w:ascii="仿宋" w:hAnsi="仿宋" w:cs="仿宋"/>
          <w:sz w:val="34"/>
          <w:szCs w:val="34"/>
          <w:u w:val="single"/>
          <w:lang w:eastAsia="zh"/>
        </w:rPr>
      </w:pPr>
      <w:r>
        <w:rPr>
          <w:rFonts w:hint="eastAsia" w:ascii="仿宋" w:hAnsi="仿宋" w:cs="仿宋"/>
          <w:b/>
          <w:bCs/>
          <w:sz w:val="34"/>
          <w:szCs w:val="34"/>
        </w:rPr>
        <w:t>项目名称：</w:t>
      </w:r>
      <w:r>
        <w:rPr>
          <w:rFonts w:hint="eastAsia" w:ascii="仿宋" w:hAnsi="仿宋" w:cs="仿宋"/>
          <w:sz w:val="34"/>
          <w:szCs w:val="34"/>
          <w:u w:val="single"/>
        </w:rPr>
        <w:t>中国机械总院“十五五”网络安全和信息化规划编制服务</w:t>
      </w:r>
      <w:r>
        <w:rPr>
          <w:rFonts w:hint="eastAsia" w:ascii="仿宋" w:hAnsi="仿宋" w:cs="仿宋"/>
          <w:sz w:val="34"/>
          <w:szCs w:val="34"/>
          <w:u w:val="single"/>
          <w:lang w:eastAsia="zh"/>
        </w:rPr>
        <w:t>项目</w:t>
      </w:r>
      <w:r>
        <w:rPr>
          <w:rFonts w:hint="eastAsia" w:ascii="仿宋" w:hAnsi="仿宋" w:cs="仿宋"/>
          <w:sz w:val="34"/>
          <w:szCs w:val="34"/>
          <w:u w:val="single"/>
        </w:rPr>
        <w:t xml:space="preserve">                   </w:t>
      </w:r>
      <w:r>
        <w:rPr>
          <w:rFonts w:hint="eastAsia" w:ascii="仿宋" w:hAnsi="仿宋" w:cs="仿宋"/>
          <w:sz w:val="34"/>
          <w:szCs w:val="34"/>
          <w:u w:val="single"/>
          <w:lang w:eastAsia="zh"/>
        </w:rPr>
        <w:t xml:space="preserve">   </w:t>
      </w:r>
    </w:p>
    <w:p>
      <w:pPr>
        <w:adjustRightInd w:val="0"/>
        <w:snapToGrid w:val="0"/>
        <w:spacing w:before="0" w:line="560" w:lineRule="exact"/>
        <w:jc w:val="left"/>
        <w:rPr>
          <w:rFonts w:hint="eastAsia" w:ascii="仿宋" w:hAnsi="仿宋" w:cs="仿宋"/>
          <w:sz w:val="34"/>
          <w:szCs w:val="34"/>
          <w:lang w:eastAsia="zh"/>
        </w:rPr>
      </w:pPr>
      <w:r>
        <w:rPr>
          <w:rFonts w:hint="eastAsia" w:ascii="仿宋" w:hAnsi="仿宋" w:cs="仿宋"/>
          <w:b/>
          <w:bCs/>
          <w:sz w:val="34"/>
          <w:szCs w:val="34"/>
        </w:rPr>
        <w:t>委</w:t>
      </w:r>
      <w:r>
        <w:rPr>
          <w:rFonts w:hint="eastAsia" w:ascii="仿宋" w:hAnsi="仿宋" w:cs="仿宋"/>
          <w:b/>
          <w:bCs/>
          <w:sz w:val="34"/>
          <w:szCs w:val="34"/>
          <w:lang w:eastAsia="zh"/>
        </w:rPr>
        <w:t xml:space="preserve"> </w:t>
      </w:r>
      <w:r>
        <w:rPr>
          <w:rFonts w:hint="eastAsia" w:ascii="仿宋" w:hAnsi="仿宋" w:cs="仿宋"/>
          <w:b/>
          <w:bCs/>
          <w:sz w:val="34"/>
          <w:szCs w:val="34"/>
        </w:rPr>
        <w:t>托</w:t>
      </w:r>
      <w:r>
        <w:rPr>
          <w:rFonts w:hint="eastAsia" w:ascii="仿宋" w:hAnsi="仿宋" w:cs="仿宋"/>
          <w:b/>
          <w:bCs/>
          <w:sz w:val="34"/>
          <w:szCs w:val="34"/>
          <w:lang w:eastAsia="zh"/>
        </w:rPr>
        <w:t xml:space="preserve"> </w:t>
      </w:r>
      <w:r>
        <w:rPr>
          <w:rFonts w:hint="eastAsia" w:ascii="仿宋" w:hAnsi="仿宋" w:cs="仿宋"/>
          <w:b/>
          <w:bCs/>
          <w:sz w:val="34"/>
          <w:szCs w:val="34"/>
        </w:rPr>
        <w:t>方：</w:t>
      </w:r>
      <w:r>
        <w:rPr>
          <w:rFonts w:hint="eastAsia" w:ascii="仿宋" w:hAnsi="仿宋" w:cs="仿宋"/>
          <w:sz w:val="34"/>
          <w:szCs w:val="34"/>
          <w:u w:val="single"/>
        </w:rPr>
        <w:t>中国机械科学研究总院集团有限公司</w:t>
      </w:r>
      <w:r>
        <w:rPr>
          <w:rFonts w:hint="eastAsia" w:ascii="仿宋" w:hAnsi="仿宋" w:cs="仿宋"/>
          <w:sz w:val="34"/>
          <w:szCs w:val="34"/>
          <w:u w:val="single"/>
          <w:lang w:eastAsia="zh"/>
        </w:rPr>
        <w:t xml:space="preserve">      </w:t>
      </w:r>
    </w:p>
    <w:p>
      <w:pPr>
        <w:adjustRightInd w:val="0"/>
        <w:snapToGrid w:val="0"/>
        <w:spacing w:before="0" w:line="560" w:lineRule="exact"/>
        <w:jc w:val="left"/>
        <w:rPr>
          <w:rFonts w:hint="eastAsia" w:ascii="仿宋" w:hAnsi="仿宋" w:cs="仿宋"/>
          <w:sz w:val="34"/>
          <w:szCs w:val="34"/>
          <w:lang w:eastAsia="zh"/>
        </w:rPr>
      </w:pPr>
      <w:r>
        <w:rPr>
          <w:rFonts w:hint="eastAsia" w:ascii="仿宋" w:hAnsi="仿宋" w:cs="仿宋"/>
          <w:b/>
          <w:bCs/>
          <w:sz w:val="34"/>
          <w:szCs w:val="34"/>
        </w:rPr>
        <w:t>受</w:t>
      </w:r>
      <w:r>
        <w:rPr>
          <w:rFonts w:hint="eastAsia" w:ascii="仿宋" w:hAnsi="仿宋" w:cs="仿宋"/>
          <w:b/>
          <w:bCs/>
          <w:sz w:val="34"/>
          <w:szCs w:val="34"/>
          <w:lang w:eastAsia="zh"/>
        </w:rPr>
        <w:t xml:space="preserve"> </w:t>
      </w:r>
      <w:r>
        <w:rPr>
          <w:rFonts w:hint="eastAsia" w:ascii="仿宋" w:hAnsi="仿宋" w:cs="仿宋"/>
          <w:b/>
          <w:bCs/>
          <w:sz w:val="34"/>
          <w:szCs w:val="34"/>
        </w:rPr>
        <w:t>托</w:t>
      </w:r>
      <w:r>
        <w:rPr>
          <w:rFonts w:hint="eastAsia" w:ascii="仿宋" w:hAnsi="仿宋" w:cs="仿宋"/>
          <w:b/>
          <w:bCs/>
          <w:sz w:val="34"/>
          <w:szCs w:val="34"/>
          <w:lang w:eastAsia="zh"/>
        </w:rPr>
        <w:t xml:space="preserve"> </w:t>
      </w:r>
      <w:r>
        <w:rPr>
          <w:rFonts w:hint="eastAsia" w:ascii="仿宋" w:hAnsi="仿宋" w:cs="仿宋"/>
          <w:b/>
          <w:bCs/>
          <w:sz w:val="34"/>
          <w:szCs w:val="34"/>
        </w:rPr>
        <w:t>方：</w:t>
      </w:r>
      <w:r>
        <w:rPr>
          <w:rFonts w:hint="eastAsia" w:ascii="仿宋" w:hAnsi="仿宋" w:cs="仿宋"/>
          <w:b/>
          <w:bCs/>
          <w:sz w:val="34"/>
          <w:szCs w:val="34"/>
          <w:u w:val="single"/>
          <w:lang w:eastAsia="zh"/>
        </w:rPr>
        <w:t xml:space="preserve">                                      </w:t>
      </w:r>
    </w:p>
    <w:p>
      <w:pPr>
        <w:adjustRightInd w:val="0"/>
        <w:snapToGrid w:val="0"/>
        <w:spacing w:before="0" w:line="560" w:lineRule="exact"/>
        <w:jc w:val="left"/>
        <w:rPr>
          <w:rFonts w:hint="eastAsia" w:ascii="仿宋" w:hAnsi="仿宋" w:cs="仿宋"/>
          <w:sz w:val="34"/>
          <w:szCs w:val="34"/>
          <w:u w:val="single"/>
          <w:lang w:eastAsia="zh"/>
        </w:rPr>
      </w:pPr>
      <w:r>
        <w:rPr>
          <w:rFonts w:hint="eastAsia" w:ascii="仿宋" w:hAnsi="仿宋" w:cs="仿宋"/>
          <w:b/>
          <w:bCs/>
          <w:sz w:val="34"/>
          <w:szCs w:val="34"/>
        </w:rPr>
        <w:t>签订时间：</w:t>
      </w:r>
      <w:r>
        <w:rPr>
          <w:rFonts w:hint="eastAsia" w:ascii="仿宋" w:hAnsi="仿宋" w:cs="仿宋"/>
          <w:b/>
          <w:bCs/>
          <w:sz w:val="34"/>
          <w:szCs w:val="34"/>
          <w:u w:val="single"/>
          <w:lang w:eastAsia="zh"/>
        </w:rPr>
        <w:t xml:space="preserve">                                      </w:t>
      </w:r>
    </w:p>
    <w:p>
      <w:pPr>
        <w:adjustRightInd w:val="0"/>
        <w:snapToGrid w:val="0"/>
        <w:spacing w:before="0" w:line="560" w:lineRule="exact"/>
        <w:jc w:val="left"/>
        <w:rPr>
          <w:rFonts w:hint="eastAsia" w:ascii="仿宋" w:hAnsi="仿宋" w:cs="仿宋"/>
          <w:b/>
          <w:sz w:val="34"/>
          <w:szCs w:val="34"/>
          <w:u w:val="single"/>
          <w:lang w:eastAsia="zh"/>
        </w:rPr>
      </w:pPr>
      <w:r>
        <w:rPr>
          <w:rFonts w:hint="eastAsia" w:ascii="仿宋" w:hAnsi="仿宋" w:cs="仿宋"/>
          <w:b/>
          <w:bCs/>
          <w:sz w:val="34"/>
          <w:szCs w:val="34"/>
        </w:rPr>
        <w:t>签订地点：</w:t>
      </w:r>
      <w:r>
        <w:rPr>
          <w:rFonts w:hint="eastAsia" w:ascii="仿宋" w:hAnsi="仿宋" w:cs="仿宋"/>
          <w:sz w:val="34"/>
          <w:szCs w:val="34"/>
          <w:u w:val="single"/>
        </w:rPr>
        <w:t>北京市海淀区</w:t>
      </w:r>
      <w:r>
        <w:rPr>
          <w:rFonts w:hint="eastAsia" w:ascii="仿宋" w:hAnsi="仿宋" w:cs="仿宋"/>
          <w:sz w:val="34"/>
          <w:szCs w:val="34"/>
          <w:u w:val="single"/>
          <w:lang w:eastAsia="zh"/>
        </w:rPr>
        <w:t xml:space="preserve">                          </w:t>
      </w:r>
    </w:p>
    <w:p>
      <w:pPr>
        <w:adjustRightInd w:val="0"/>
        <w:snapToGrid w:val="0"/>
        <w:spacing w:before="0" w:line="560" w:lineRule="exact"/>
        <w:jc w:val="left"/>
        <w:rPr>
          <w:rFonts w:hint="eastAsia" w:ascii="仿宋" w:hAnsi="仿宋" w:cs="仿宋"/>
          <w:b/>
          <w:sz w:val="28"/>
        </w:rPr>
      </w:pPr>
    </w:p>
    <w:p>
      <w:pPr>
        <w:adjustRightInd w:val="0"/>
        <w:snapToGrid w:val="0"/>
        <w:spacing w:before="0" w:line="560" w:lineRule="exact"/>
        <w:jc w:val="left"/>
        <w:rPr>
          <w:rFonts w:hint="eastAsia" w:ascii="仿宋" w:hAnsi="仿宋" w:cs="仿宋"/>
          <w:b/>
          <w:sz w:val="28"/>
        </w:rPr>
      </w:pPr>
    </w:p>
    <w:p>
      <w:pPr>
        <w:adjustRightInd w:val="0"/>
        <w:snapToGrid w:val="0"/>
        <w:spacing w:before="0" w:line="560" w:lineRule="exact"/>
        <w:jc w:val="left"/>
        <w:rPr>
          <w:rFonts w:hint="eastAsia" w:ascii="仿宋" w:hAnsi="仿宋" w:cs="仿宋"/>
          <w:b/>
          <w:sz w:val="28"/>
        </w:rPr>
      </w:pPr>
      <w:r>
        <w:rPr>
          <w:rFonts w:hint="eastAsia" w:ascii="仿宋" w:hAnsi="仿宋" w:cs="仿宋"/>
          <w:b/>
          <w:sz w:val="28"/>
        </w:rPr>
        <w:t>委托方（</w:t>
      </w:r>
      <w:r>
        <w:rPr>
          <w:rFonts w:hint="eastAsia" w:ascii="仿宋" w:hAnsi="仿宋" w:cs="仿宋"/>
          <w:b/>
          <w:sz w:val="28"/>
          <w:lang w:eastAsia="zh"/>
        </w:rPr>
        <w:t>以下简称</w:t>
      </w:r>
      <w:r>
        <w:rPr>
          <w:rFonts w:hint="eastAsia" w:ascii="仿宋" w:hAnsi="仿宋" w:cs="仿宋"/>
          <w:b/>
          <w:sz w:val="28"/>
        </w:rPr>
        <w:t>甲方）：中国机械科学研究总院集团有限公司</w:t>
      </w:r>
    </w:p>
    <w:p>
      <w:pPr>
        <w:adjustRightInd w:val="0"/>
        <w:snapToGrid w:val="0"/>
        <w:spacing w:before="0" w:line="560" w:lineRule="exact"/>
        <w:jc w:val="left"/>
        <w:rPr>
          <w:rFonts w:hint="eastAsia" w:ascii="仿宋" w:hAnsi="仿宋" w:cs="仿宋"/>
          <w:b/>
          <w:sz w:val="28"/>
        </w:rPr>
      </w:pPr>
      <w:r>
        <w:rPr>
          <w:rFonts w:hint="eastAsia" w:ascii="仿宋" w:hAnsi="仿宋" w:cs="仿宋"/>
          <w:b/>
          <w:sz w:val="28"/>
        </w:rPr>
        <w:t>受托方（</w:t>
      </w:r>
      <w:r>
        <w:rPr>
          <w:rFonts w:hint="eastAsia" w:ascii="仿宋" w:hAnsi="仿宋" w:cs="仿宋"/>
          <w:b/>
          <w:sz w:val="28"/>
          <w:lang w:eastAsia="zh"/>
        </w:rPr>
        <w:t>以下简称</w:t>
      </w:r>
      <w:r>
        <w:rPr>
          <w:rFonts w:hint="eastAsia" w:ascii="仿宋" w:hAnsi="仿宋" w:cs="仿宋"/>
          <w:b/>
          <w:sz w:val="28"/>
        </w:rPr>
        <w:t>乙方）：</w:t>
      </w:r>
    </w:p>
    <w:p>
      <w:pPr>
        <w:spacing w:before="0" w:line="240" w:lineRule="auto"/>
        <w:jc w:val="left"/>
        <w:rPr>
          <w:rFonts w:hint="eastAsia" w:ascii="仿宋" w:hAnsi="仿宋" w:cs="仿宋"/>
          <w:b/>
          <w:sz w:val="28"/>
        </w:rPr>
      </w:pPr>
      <w:r>
        <w:rPr>
          <w:rFonts w:hint="eastAsia" w:ascii="仿宋" w:hAnsi="仿宋" w:cs="仿宋"/>
          <w:b/>
          <w:sz w:val="28"/>
        </w:rPr>
        <w:br w:type="page"/>
      </w:r>
    </w:p>
    <w:p>
      <w:pPr>
        <w:adjustRightInd w:val="0"/>
        <w:snapToGrid w:val="0"/>
        <w:spacing w:before="0" w:line="560" w:lineRule="exact"/>
        <w:jc w:val="left"/>
        <w:rPr>
          <w:rFonts w:hint="eastAsia" w:ascii="仿宋" w:hAnsi="仿宋" w:cs="仿宋"/>
          <w:b/>
          <w:sz w:val="28"/>
        </w:rPr>
      </w:pPr>
    </w:p>
    <w:p>
      <w:pPr>
        <w:adjustRightInd w:val="0"/>
        <w:snapToGrid w:val="0"/>
        <w:spacing w:before="0" w:line="560" w:lineRule="exact"/>
        <w:ind w:firstLine="480" w:firstLineChars="200"/>
        <w:rPr>
          <w:rFonts w:hint="eastAsia" w:ascii="仿宋" w:hAnsi="仿宋" w:cs="仿宋"/>
        </w:rPr>
      </w:pPr>
      <w:r>
        <w:rPr>
          <w:rFonts w:hint="eastAsia" w:ascii="仿宋" w:hAnsi="仿宋" w:cs="仿宋"/>
        </w:rPr>
        <w:t>本合同甲方委托乙方进行中国机械总院“十五五”网络安全和信息化规划编制服务项目的专项技术服务，并支付相应的技术服务报酬等事宜，甲乙双方经过平等协商，根据《中华人民共和国民法典》等相关法律法规的规定，达成如下协议，以资共同遵守。</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一、委托服务内容及方式</w:t>
      </w:r>
    </w:p>
    <w:p>
      <w:pPr>
        <w:tabs>
          <w:tab w:val="left" w:pos="945"/>
        </w:tabs>
        <w:adjustRightInd w:val="0"/>
        <w:snapToGrid w:val="0"/>
        <w:spacing w:before="0" w:line="560" w:lineRule="exact"/>
        <w:ind w:firstLine="480" w:firstLineChars="200"/>
        <w:rPr>
          <w:rFonts w:hint="eastAsia" w:ascii="仿宋" w:hAnsi="仿宋" w:cs="仿宋"/>
        </w:rPr>
      </w:pPr>
      <w:r>
        <w:rPr>
          <w:rFonts w:hint="eastAsia" w:ascii="仿宋" w:hAnsi="仿宋" w:cs="仿宋"/>
          <w:bCs/>
        </w:rPr>
        <w:t>1、</w:t>
      </w:r>
      <w:r>
        <w:rPr>
          <w:rFonts w:hint="eastAsia" w:ascii="仿宋" w:hAnsi="仿宋" w:cs="仿宋"/>
        </w:rPr>
        <w:t>技术服务的内容：</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乙方依据甲方招标文件要求及乙方投标文件承诺，为甲方提供</w:t>
      </w:r>
      <w:r>
        <w:rPr>
          <w:rFonts w:hint="eastAsia" w:ascii="仿宋" w:hAnsi="仿宋" w:cs="仿宋"/>
        </w:rPr>
        <w:t>“十五五”网络安全和信息化规划编制</w:t>
      </w:r>
      <w:r>
        <w:rPr>
          <w:rFonts w:hint="eastAsia" w:ascii="仿宋" w:hAnsi="仿宋" w:cs="仿宋"/>
          <w:lang w:eastAsia="zh"/>
        </w:rPr>
        <w:t>服务。具体内容包括但不限于：</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（1）数字化转型战略咨询：包括政策解读、行业趋势分析、战略定位与目标设计、实施路径规划等；</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（2）信息化现状诊断与需求分析：包括全领域现状调研、“十四五”成效评估、核心业务与人工智能应用场景需求梳理，并形成《需求分析报告》；</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（3）信息化架构顶层设计：包括总体技术架构、数据资源体系、应用系统架构、人工智能（AI4S）架构、安全保障架构、完善财务数智化系统、穿透式监管系统的功能架构及与其他业务系统的集成方案；</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（4）重点任务与项目库建设：包括重点任务梳理、重点项目策划与投资估算、“十五五”信息化项目库建设；</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（5）实施保障体系设计：包括管理体制、运行机制及配套保障措施设计；</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（6）规划实施落地指导：包括宣贯培训、年度立项咨询、实施评估与动态调整建议等。</w:t>
      </w:r>
    </w:p>
    <w:p>
      <w:pPr>
        <w:tabs>
          <w:tab w:val="left" w:pos="945"/>
        </w:tabs>
        <w:adjustRightInd w:val="0"/>
        <w:snapToGrid w:val="0"/>
        <w:spacing w:before="0" w:line="560" w:lineRule="exact"/>
        <w:ind w:firstLine="480" w:firstLineChars="200"/>
        <w:rPr>
          <w:rFonts w:hint="eastAsia" w:ascii="仿宋" w:hAnsi="仿宋" w:cs="仿宋"/>
        </w:rPr>
      </w:pPr>
      <w:r>
        <w:rPr>
          <w:rFonts w:hint="eastAsia" w:ascii="仿宋" w:hAnsi="仿宋" w:cs="仿宋"/>
          <w:bCs/>
        </w:rPr>
        <w:t>2、</w:t>
      </w:r>
      <w:r>
        <w:rPr>
          <w:rFonts w:hint="eastAsia" w:ascii="仿宋" w:hAnsi="仿宋" w:cs="仿宋"/>
        </w:rPr>
        <w:t>技术服务的方式：</w:t>
      </w:r>
    </w:p>
    <w:p>
      <w:pPr>
        <w:tabs>
          <w:tab w:val="left" w:pos="945"/>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乙方以现场调研、专家访谈、资料分析、专题研讨、方案编制、成果汇报、培训指导等方式提供咨询服务。</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二、服务标准和要求</w:t>
      </w:r>
    </w:p>
    <w:p>
      <w:pPr>
        <w:adjustRightInd w:val="0"/>
        <w:snapToGrid w:val="0"/>
        <w:spacing w:before="0" w:line="560" w:lineRule="exact"/>
        <w:ind w:firstLine="480" w:firstLineChars="200"/>
        <w:rPr>
          <w:rFonts w:hint="eastAsia" w:ascii="仿宋" w:hAnsi="仿宋" w:cs="仿宋"/>
        </w:rPr>
      </w:pPr>
      <w:r>
        <w:rPr>
          <w:rFonts w:hint="eastAsia" w:ascii="仿宋" w:hAnsi="仿宋" w:cs="仿宋"/>
          <w:bCs/>
        </w:rPr>
        <w:t>1、</w:t>
      </w:r>
      <w:r>
        <w:rPr>
          <w:rFonts w:hint="eastAsia" w:ascii="仿宋" w:hAnsi="仿宋" w:cs="仿宋"/>
        </w:rPr>
        <w:t>乙方承诺其具有履行本合同项下义务的能力和资质。</w:t>
      </w:r>
    </w:p>
    <w:p>
      <w:pPr>
        <w:adjustRightInd w:val="0"/>
        <w:snapToGrid w:val="0"/>
        <w:spacing w:before="0" w:line="560" w:lineRule="exact"/>
        <w:ind w:firstLine="480" w:firstLineChars="200"/>
        <w:rPr>
          <w:rFonts w:hint="eastAsia" w:ascii="仿宋" w:hAnsi="仿宋" w:cs="仿宋"/>
          <w:b/>
          <w:lang w:eastAsia="zh"/>
        </w:rPr>
      </w:pPr>
      <w:r>
        <w:rPr>
          <w:rFonts w:hint="eastAsia" w:ascii="仿宋" w:hAnsi="仿宋" w:cs="仿宋"/>
        </w:rPr>
        <w:t>2、技术服务期限：</w:t>
      </w:r>
      <w:r>
        <w:rPr>
          <w:rFonts w:hint="eastAsia" w:ascii="仿宋" w:hAnsi="仿宋" w:cs="仿宋"/>
          <w:lang w:eastAsia="zh"/>
        </w:rPr>
        <w:t>自本合同生效之日起12个月。</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3、技术服务进度：</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乙方应按照以下进度计划提供服务，具体交付时间以甲方书面确认的验收通过日期为准：</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701"/>
        <w:gridCol w:w="2332"/>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阶段</w:t>
            </w:r>
          </w:p>
        </w:tc>
        <w:tc>
          <w:tcPr>
            <w:tcW w:w="1701"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时间</w:t>
            </w:r>
          </w:p>
        </w:tc>
        <w:tc>
          <w:tcPr>
            <w:tcW w:w="2332"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主要工作内容</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现状调研与诊断</w:t>
            </w:r>
          </w:p>
        </w:tc>
        <w:tc>
          <w:tcPr>
            <w:tcW w:w="1701"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8</w:t>
            </w:r>
            <w:r>
              <w:rPr>
                <w:rFonts w:ascii="仿宋" w:hAnsi="仿宋" w:cs="仿宋"/>
                <w:color w:val="333333"/>
                <w:lang w:eastAsia="zh"/>
              </w:rPr>
              <w:t>月</w:t>
            </w:r>
            <w:r>
              <w:rPr>
                <w:rFonts w:hint="eastAsia" w:ascii="仿宋" w:hAnsi="仿宋" w:cs="仿宋"/>
                <w:color w:val="333333"/>
              </w:rPr>
              <w:t>1</w:t>
            </w:r>
            <w:r>
              <w:rPr>
                <w:rFonts w:ascii="仿宋" w:hAnsi="仿宋" w:cs="仿宋"/>
                <w:color w:val="333333"/>
                <w:lang w:eastAsia="zh"/>
              </w:rPr>
              <w:t>日-2026年</w:t>
            </w:r>
            <w:r>
              <w:rPr>
                <w:rFonts w:hint="eastAsia" w:ascii="仿宋" w:hAnsi="仿宋" w:cs="仿宋"/>
                <w:color w:val="333333"/>
              </w:rPr>
              <w:t>8</w:t>
            </w:r>
            <w:r>
              <w:rPr>
                <w:rFonts w:ascii="仿宋" w:hAnsi="仿宋" w:cs="仿宋"/>
                <w:color w:val="333333"/>
                <w:lang w:eastAsia="zh"/>
              </w:rPr>
              <w:t>月3</w:t>
            </w:r>
            <w:r>
              <w:rPr>
                <w:rFonts w:hint="eastAsia" w:ascii="仿宋" w:hAnsi="仿宋" w:cs="仿宋"/>
                <w:color w:val="333333"/>
              </w:rPr>
              <w:t>1</w:t>
            </w:r>
            <w:r>
              <w:rPr>
                <w:rFonts w:ascii="仿宋" w:hAnsi="仿宋" w:cs="仿宋"/>
                <w:color w:val="333333"/>
                <w:lang w:eastAsia="zh"/>
              </w:rPr>
              <w:t>日</w:t>
            </w:r>
          </w:p>
        </w:tc>
        <w:tc>
          <w:tcPr>
            <w:tcW w:w="2332"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现场调研、需求访谈、现状评估</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《“十四五”信息化建设成效评估报告》、《需求分析报告》等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战略研究与架构设计</w:t>
            </w:r>
          </w:p>
        </w:tc>
        <w:tc>
          <w:tcPr>
            <w:tcW w:w="1701"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9</w:t>
            </w:r>
            <w:r>
              <w:rPr>
                <w:rFonts w:ascii="仿宋" w:hAnsi="仿宋" w:cs="仿宋"/>
                <w:color w:val="333333"/>
                <w:lang w:eastAsia="zh"/>
              </w:rPr>
              <w:t>月1日-2026年</w:t>
            </w:r>
            <w:r>
              <w:rPr>
                <w:rFonts w:hint="eastAsia" w:ascii="仿宋" w:hAnsi="仿宋" w:cs="仿宋"/>
                <w:color w:val="333333"/>
              </w:rPr>
              <w:t>9</w:t>
            </w:r>
            <w:r>
              <w:rPr>
                <w:rFonts w:ascii="仿宋" w:hAnsi="仿宋" w:cs="仿宋"/>
                <w:color w:val="333333"/>
                <w:lang w:eastAsia="zh"/>
              </w:rPr>
              <w:t>月3</w:t>
            </w:r>
            <w:r>
              <w:rPr>
                <w:rFonts w:hint="eastAsia" w:ascii="仿宋" w:hAnsi="仿宋" w:cs="仿宋"/>
                <w:color w:val="333333"/>
              </w:rPr>
              <w:t>0</w:t>
            </w:r>
            <w:r>
              <w:rPr>
                <w:rFonts w:ascii="仿宋" w:hAnsi="仿宋" w:cs="仿宋"/>
                <w:color w:val="333333"/>
                <w:lang w:eastAsia="zh"/>
              </w:rPr>
              <w:t>日</w:t>
            </w:r>
          </w:p>
        </w:tc>
        <w:tc>
          <w:tcPr>
            <w:tcW w:w="2332"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战略定位、总体架构设计</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《集团“十五五” 数字化总体架构设计报告》等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规划编制与项目设计</w:t>
            </w:r>
          </w:p>
        </w:tc>
        <w:tc>
          <w:tcPr>
            <w:tcW w:w="1701"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10</w:t>
            </w:r>
            <w:r>
              <w:rPr>
                <w:rFonts w:ascii="仿宋" w:hAnsi="仿宋" w:cs="仿宋"/>
                <w:color w:val="333333"/>
                <w:lang w:eastAsia="zh"/>
              </w:rPr>
              <w:t>月1日-2026年</w:t>
            </w:r>
            <w:r>
              <w:rPr>
                <w:rFonts w:hint="eastAsia" w:ascii="仿宋" w:hAnsi="仿宋" w:cs="仿宋"/>
                <w:color w:val="333333"/>
              </w:rPr>
              <w:t>10</w:t>
            </w:r>
            <w:r>
              <w:rPr>
                <w:rFonts w:ascii="仿宋" w:hAnsi="仿宋" w:cs="仿宋"/>
                <w:color w:val="333333"/>
                <w:lang w:eastAsia="zh"/>
              </w:rPr>
              <w:t>月31日</w:t>
            </w:r>
          </w:p>
        </w:tc>
        <w:tc>
          <w:tcPr>
            <w:tcW w:w="2332"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重点任务梳理、项目库建设</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《集团“十五五” 数字化转型规划（征求意见稿）》等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评审完善与成果发布</w:t>
            </w:r>
          </w:p>
        </w:tc>
        <w:tc>
          <w:tcPr>
            <w:tcW w:w="1701"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w:t>
            </w:r>
            <w:r>
              <w:rPr>
                <w:rFonts w:hint="eastAsia" w:ascii="仿宋" w:hAnsi="仿宋" w:cs="仿宋"/>
                <w:color w:val="333333"/>
              </w:rPr>
              <w:t>11</w:t>
            </w:r>
            <w:r>
              <w:rPr>
                <w:rFonts w:ascii="仿宋" w:hAnsi="仿宋" w:cs="仿宋"/>
                <w:color w:val="333333"/>
                <w:lang w:eastAsia="zh"/>
              </w:rPr>
              <w:t>月1日-2026年</w:t>
            </w:r>
            <w:r>
              <w:rPr>
                <w:rFonts w:hint="eastAsia" w:ascii="仿宋" w:hAnsi="仿宋" w:cs="仿宋"/>
                <w:color w:val="333333"/>
              </w:rPr>
              <w:t>11</w:t>
            </w:r>
            <w:r>
              <w:rPr>
                <w:rFonts w:ascii="仿宋" w:hAnsi="仿宋" w:cs="仿宋"/>
                <w:color w:val="333333"/>
                <w:lang w:eastAsia="zh"/>
              </w:rPr>
              <w:t>月30日</w:t>
            </w:r>
          </w:p>
        </w:tc>
        <w:tc>
          <w:tcPr>
            <w:tcW w:w="2332"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意见征集、专家评审、修改完善</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《集团“十五五” 数字化转型规划（正式稿）》及配套文件等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实施指导与评估</w:t>
            </w:r>
          </w:p>
        </w:tc>
        <w:tc>
          <w:tcPr>
            <w:tcW w:w="1701" w:type="dxa"/>
            <w:vAlign w:val="center"/>
          </w:tcPr>
          <w:p>
            <w:pPr>
              <w:adjustRightInd w:val="0"/>
              <w:snapToGrid w:val="0"/>
              <w:spacing w:before="0" w:line="560" w:lineRule="exact"/>
              <w:jc w:val="center"/>
              <w:rPr>
                <w:rFonts w:hint="eastAsia" w:ascii="仿宋" w:hAnsi="仿宋" w:cs="仿宋"/>
                <w:lang w:eastAsia="zh"/>
              </w:rPr>
            </w:pPr>
            <w:r>
              <w:rPr>
                <w:rFonts w:ascii="仿宋" w:hAnsi="仿宋" w:cs="仿宋"/>
                <w:color w:val="333333"/>
                <w:lang w:eastAsia="zh"/>
              </w:rPr>
              <w:t>2026年1</w:t>
            </w:r>
            <w:r>
              <w:rPr>
                <w:rFonts w:hint="eastAsia" w:ascii="仿宋" w:hAnsi="仿宋" w:cs="仿宋"/>
                <w:color w:val="333333"/>
              </w:rPr>
              <w:t>2</w:t>
            </w:r>
            <w:r>
              <w:rPr>
                <w:rFonts w:ascii="仿宋" w:hAnsi="仿宋" w:cs="仿宋"/>
                <w:color w:val="333333"/>
                <w:lang w:eastAsia="zh"/>
              </w:rPr>
              <w:t>月1日-2027年</w:t>
            </w:r>
            <w:r>
              <w:rPr>
                <w:rFonts w:hint="eastAsia" w:ascii="仿宋" w:hAnsi="仿宋" w:cs="仿宋"/>
                <w:color w:val="333333"/>
              </w:rPr>
              <w:t>7</w:t>
            </w:r>
            <w:r>
              <w:rPr>
                <w:rFonts w:ascii="仿宋" w:hAnsi="仿宋" w:cs="仿宋"/>
                <w:color w:val="333333"/>
                <w:lang w:eastAsia="zh"/>
              </w:rPr>
              <w:t>月31日</w:t>
            </w:r>
          </w:p>
        </w:tc>
        <w:tc>
          <w:tcPr>
            <w:tcW w:w="2332"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宣贯培训、落地指导、年度评估</w:t>
            </w:r>
          </w:p>
        </w:tc>
        <w:tc>
          <w:tcPr>
            <w:tcW w:w="2707" w:type="dxa"/>
            <w:vAlign w:val="center"/>
          </w:tcPr>
          <w:p>
            <w:pPr>
              <w:adjustRightInd w:val="0"/>
              <w:snapToGrid w:val="0"/>
              <w:spacing w:before="0" w:line="560" w:lineRule="exact"/>
              <w:jc w:val="center"/>
              <w:rPr>
                <w:rFonts w:hint="eastAsia" w:ascii="仿宋" w:hAnsi="仿宋" w:cs="仿宋"/>
                <w:lang w:eastAsia="zh"/>
              </w:rPr>
            </w:pPr>
            <w:r>
              <w:rPr>
                <w:rFonts w:hint="eastAsia" w:ascii="仿宋" w:hAnsi="仿宋" w:cs="仿宋"/>
                <w:lang w:eastAsia="zh"/>
              </w:rPr>
              <w:t>年度实施评估报告、调整建议等</w:t>
            </w:r>
          </w:p>
        </w:tc>
      </w:tr>
    </w:tbl>
    <w:p>
      <w:pPr>
        <w:numPr>
          <w:ilvl w:val="0"/>
          <w:numId w:val="11"/>
        </w:numPr>
        <w:adjustRightInd w:val="0"/>
        <w:snapToGrid w:val="0"/>
        <w:spacing w:before="0" w:line="560" w:lineRule="exact"/>
        <w:ind w:firstLine="480" w:firstLineChars="200"/>
        <w:rPr>
          <w:rFonts w:hint="eastAsia" w:ascii="仿宋" w:hAnsi="仿宋" w:cs="仿宋"/>
        </w:rPr>
      </w:pPr>
      <w:r>
        <w:rPr>
          <w:rFonts w:hint="eastAsia" w:ascii="仿宋" w:hAnsi="仿宋" w:cs="仿宋"/>
        </w:rPr>
        <w:t>技术服务质量要求：</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乙方提交的成果应符合国家、行业相关规范及标准，满足《招标文件》及本合同约定的全部要求，并通过甲方组织的评审和验收。</w:t>
      </w:r>
    </w:p>
    <w:p>
      <w:pPr>
        <w:numPr>
          <w:ilvl w:val="0"/>
          <w:numId w:val="11"/>
        </w:numPr>
        <w:adjustRightInd w:val="0"/>
        <w:snapToGrid w:val="0"/>
        <w:spacing w:before="0" w:line="560" w:lineRule="exact"/>
        <w:ind w:firstLine="480" w:firstLineChars="200"/>
        <w:rPr>
          <w:rFonts w:hint="eastAsia" w:ascii="仿宋" w:hAnsi="仿宋" w:cs="仿宋"/>
        </w:rPr>
      </w:pPr>
      <w:r>
        <w:rPr>
          <w:rFonts w:hint="eastAsia" w:ascii="仿宋" w:hAnsi="仿宋" w:cs="仿宋"/>
        </w:rPr>
        <w:t>技术服务质量期限要求：</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乙方对在本合同服务期限内提交的最终成果，自最终验收通过之日起【12】个月内，有义务对甲方就成果内容的理解和应用提供必要的解释和澄清</w:t>
      </w:r>
      <w:r>
        <w:rPr>
          <w:rFonts w:hint="eastAsia" w:ascii="仿宋" w:hAnsi="仿宋" w:cs="仿宋"/>
        </w:rPr>
        <w:t>，并确保交付成果不存在影响其正常理解与实施的任何错误、遗漏或与招标文件要求不符的情形（“质量瑕疵”）</w:t>
      </w:r>
      <w:r>
        <w:rPr>
          <w:rFonts w:hint="eastAsia" w:ascii="仿宋" w:hAnsi="仿宋" w:cs="仿宋"/>
          <w:lang w:eastAsia="zh"/>
        </w:rPr>
        <w:t>。若甲方在质量保证期内发现任何质量瑕疵，有权通知乙方，乙方应在收到通知后7日内予以修正或提供解决方案。若因乙方成果中的根本性缺陷（非甲方原因导致）引发问题，乙方应负责修正。</w:t>
      </w:r>
    </w:p>
    <w:p>
      <w:pPr>
        <w:numPr>
          <w:ilvl w:val="0"/>
          <w:numId w:val="11"/>
        </w:numPr>
        <w:adjustRightInd w:val="0"/>
        <w:snapToGrid w:val="0"/>
        <w:spacing w:before="0" w:line="560" w:lineRule="exact"/>
        <w:ind w:firstLine="480" w:firstLineChars="200"/>
        <w:rPr>
          <w:rFonts w:hint="eastAsia" w:ascii="仿宋" w:hAnsi="仿宋" w:cs="仿宋"/>
        </w:rPr>
      </w:pPr>
      <w:r>
        <w:rPr>
          <w:rFonts w:hint="eastAsia" w:ascii="仿宋" w:hAnsi="仿宋" w:cs="仿宋"/>
        </w:rPr>
        <w:t>其他要求：</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未经甲方书面同意，乙方不得将本合同项下的工作转包或分包。乙方承诺，其在本项目投标文件中所列明的项目负责人、核心成员及团队配置方案，即为本合同履行期间实际投入的项目团队。未经甲方书面同意，乙方不得擅自更换项目负责人或任何核心团队成员。如确因不可抗力（包括但不限于重病、离职）导致乙方人员必须更换的，乙方应至少提前【15】个工作日向甲方提出书面申请，并提供充分证明材料。新更换人员的资历、经验、专业能力及职称等级不得低于原定人员，且需经甲方书面批准后方可更换。乙方未经甲方书面同意擅自更换项目负责人的，每更换一人，应向甲方支付合同含税总价【5%】的违约金；擅自更换核心成员的，每更换一人，应向甲方支付合同含税总价【2%】的违约金。违约金不足以弥补甲方损失的，乙方还应予以赔偿。</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三、工作条件和协作事项</w:t>
      </w:r>
    </w:p>
    <w:p>
      <w:pPr>
        <w:adjustRightInd w:val="0"/>
        <w:snapToGrid w:val="0"/>
        <w:spacing w:before="0" w:line="560" w:lineRule="exact"/>
        <w:ind w:firstLine="480" w:firstLineChars="200"/>
        <w:rPr>
          <w:rFonts w:hint="eastAsia" w:ascii="仿宋" w:hAnsi="仿宋" w:cs="仿宋"/>
          <w:bCs/>
        </w:rPr>
      </w:pPr>
      <w:r>
        <w:rPr>
          <w:rFonts w:hint="eastAsia" w:ascii="仿宋" w:hAnsi="仿宋" w:cs="仿宋"/>
          <w:bCs/>
        </w:rPr>
        <w:t>1、甲方提供技术资料：</w:t>
      </w:r>
    </w:p>
    <w:p>
      <w:pPr>
        <w:adjustRightInd w:val="0"/>
        <w:snapToGrid w:val="0"/>
        <w:spacing w:before="0" w:line="560" w:lineRule="exact"/>
        <w:ind w:firstLine="480" w:firstLineChars="200"/>
        <w:rPr>
          <w:rFonts w:hint="eastAsia" w:ascii="仿宋" w:hAnsi="仿宋" w:cs="仿宋"/>
          <w:bCs/>
          <w:lang w:eastAsia="zh"/>
        </w:rPr>
      </w:pPr>
      <w:r>
        <w:rPr>
          <w:rFonts w:hint="eastAsia" w:ascii="仿宋" w:hAnsi="仿宋" w:cs="仿宋"/>
          <w:bCs/>
          <w:lang w:eastAsia="zh"/>
        </w:rPr>
        <w:t>甲方根据项目需要，向乙方提供必要的集团现有IT资产、业务系统、数据资源、应用场景等相关资料（具体清单由双方项目联系人协商确定）。</w:t>
      </w:r>
    </w:p>
    <w:p>
      <w:pPr>
        <w:numPr>
          <w:ilvl w:val="0"/>
          <w:numId w:val="12"/>
        </w:numPr>
        <w:adjustRightInd w:val="0"/>
        <w:snapToGrid w:val="0"/>
        <w:spacing w:before="0" w:line="560" w:lineRule="exact"/>
        <w:ind w:firstLine="480" w:firstLineChars="200"/>
        <w:rPr>
          <w:rFonts w:hint="eastAsia" w:ascii="仿宋" w:hAnsi="仿宋" w:cs="仿宋"/>
          <w:bCs/>
        </w:rPr>
      </w:pPr>
      <w:r>
        <w:rPr>
          <w:rFonts w:hint="eastAsia" w:ascii="仿宋" w:hAnsi="仿宋" w:cs="仿宋"/>
          <w:bCs/>
        </w:rPr>
        <w:t>甲方提供工作条件：</w:t>
      </w:r>
    </w:p>
    <w:p>
      <w:pPr>
        <w:adjustRightInd w:val="0"/>
        <w:snapToGrid w:val="0"/>
        <w:spacing w:before="0" w:line="560" w:lineRule="exact"/>
        <w:ind w:firstLine="480" w:firstLineChars="200"/>
        <w:rPr>
          <w:rFonts w:hint="eastAsia" w:ascii="仿宋" w:hAnsi="仿宋" w:cs="仿宋"/>
          <w:bCs/>
        </w:rPr>
      </w:pPr>
      <w:r>
        <w:rPr>
          <w:rFonts w:hint="eastAsia" w:ascii="仿宋" w:hAnsi="仿宋" w:cs="仿宋"/>
          <w:bCs/>
          <w:lang w:eastAsia="zh"/>
        </w:rPr>
        <w:t>甲方指定相关部门的接口人，配合乙方开展调研访谈、资料收集、专题研讨等工作，并为乙方驻场工作提供必要的办公条件（如会议室、网络接入等）。</w:t>
      </w:r>
    </w:p>
    <w:p>
      <w:pPr>
        <w:adjustRightInd w:val="0"/>
        <w:snapToGrid w:val="0"/>
        <w:spacing w:before="0" w:line="560" w:lineRule="exact"/>
        <w:ind w:firstLine="482" w:firstLineChars="200"/>
        <w:rPr>
          <w:rFonts w:hint="eastAsia" w:ascii="仿宋" w:hAnsi="仿宋" w:cs="仿宋"/>
        </w:rPr>
      </w:pPr>
      <w:r>
        <w:rPr>
          <w:rFonts w:hint="eastAsia" w:ascii="仿宋" w:hAnsi="仿宋" w:cs="仿宋"/>
          <w:b/>
        </w:rPr>
        <w:t>四、技术服务报酬及支付方式</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1、技术服务费总额为：不含税总价为XX元人民币（大写：），含税总价为XX元人民币（大写：）。</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2、乙方需开具税率为XXX%的增值税专用发票，如遇国家税率调整，不含税总价不变，含税总价税率按照国家相关政策执行。</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3、技术服务费由甲方分期支付乙方，支付条件、时间、方式如下：</w:t>
      </w:r>
    </w:p>
    <w:p>
      <w:pPr>
        <w:tabs>
          <w:tab w:val="left" w:pos="980"/>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（1）本合同生效且乙方提供等额合规发票后【</w:t>
      </w:r>
      <w:r>
        <w:rPr>
          <w:rFonts w:hint="eastAsia" w:ascii="仿宋" w:hAnsi="仿宋" w:cs="仿宋"/>
        </w:rPr>
        <w:t>30</w:t>
      </w:r>
      <w:r>
        <w:rPr>
          <w:rFonts w:hint="eastAsia" w:ascii="仿宋" w:hAnsi="仿宋" w:cs="仿宋"/>
          <w:lang w:eastAsia="zh"/>
        </w:rPr>
        <w:t>】个工作日内，甲方向乙方支付合同含税总价的【30%】，即人民币【XX】元。</w:t>
      </w:r>
    </w:p>
    <w:p>
      <w:pPr>
        <w:tabs>
          <w:tab w:val="left" w:pos="980"/>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（2）乙方完成第四阶段工作，提交《集团“十五五” 数字化转型规划（正式稿）》及配套文件等并经甲方初步验收通过，且提供等额合规发票后【</w:t>
      </w:r>
      <w:r>
        <w:rPr>
          <w:rFonts w:hint="eastAsia" w:ascii="仿宋" w:hAnsi="仿宋" w:cs="仿宋"/>
        </w:rPr>
        <w:t>30</w:t>
      </w:r>
      <w:r>
        <w:rPr>
          <w:rFonts w:hint="eastAsia" w:ascii="仿宋" w:hAnsi="仿宋" w:cs="仿宋"/>
          <w:lang w:eastAsia="zh"/>
        </w:rPr>
        <w:t>】个工作日内，甲方向乙方支付合同含税总价的【30%】，即人民币【XX】元。</w:t>
      </w:r>
    </w:p>
    <w:p>
      <w:pPr>
        <w:tabs>
          <w:tab w:val="left" w:pos="980"/>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（3）本合同服务期满，乙方完成第五阶段全部实施指导工作，并经甲方最终验收合格，且提供剩余全部金额的合规发票后【</w:t>
      </w:r>
      <w:r>
        <w:rPr>
          <w:rFonts w:hint="eastAsia" w:ascii="仿宋" w:hAnsi="仿宋" w:cs="仿宋"/>
        </w:rPr>
        <w:t>30</w:t>
      </w:r>
      <w:r>
        <w:rPr>
          <w:rFonts w:hint="eastAsia" w:ascii="仿宋" w:hAnsi="仿宋" w:cs="仿宋"/>
          <w:lang w:eastAsia="zh"/>
        </w:rPr>
        <w:t>】个工作日内，甲方向乙方支付合同含税总价的【30%】，即人民币【</w:t>
      </w:r>
      <w:r>
        <w:rPr>
          <w:rFonts w:hint="eastAsia" w:ascii="仿宋" w:hAnsi="仿宋" w:cs="仿宋"/>
        </w:rPr>
        <w:t>XX</w:t>
      </w:r>
      <w:r>
        <w:rPr>
          <w:rFonts w:hint="eastAsia" w:ascii="仿宋" w:hAnsi="仿宋" w:cs="仿宋"/>
          <w:lang w:eastAsia="zh"/>
        </w:rPr>
        <w:t>】元。</w:t>
      </w:r>
    </w:p>
    <w:p>
      <w:pPr>
        <w:tabs>
          <w:tab w:val="left" w:pos="980"/>
        </w:tabs>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4）在本合同服务期限届满之日起满一年，且乙方在此一年期间内已履行完毕本合同第二条第5款约定的质量期服务义务（包括但不限于对成果的解释、澄清及对根本性缺陷的修正），未发生违约情形，乙方在向甲方提出书面付款申请并提交等额合规的增值税专用发票后【</w:t>
      </w:r>
      <w:r>
        <w:rPr>
          <w:rFonts w:hint="eastAsia" w:ascii="仿宋" w:hAnsi="仿宋" w:cs="仿宋"/>
        </w:rPr>
        <w:t>30</w:t>
      </w:r>
      <w:r>
        <w:rPr>
          <w:rFonts w:hint="eastAsia" w:ascii="仿宋" w:hAnsi="仿宋" w:cs="仿宋"/>
          <w:lang w:eastAsia="zh"/>
        </w:rPr>
        <w:t>】个工作日内，甲方向乙方支付剩余的【10%】质保金，即人民币【XX】元。</w:t>
      </w:r>
    </w:p>
    <w:p>
      <w:pPr>
        <w:numPr>
          <w:ilvl w:val="0"/>
          <w:numId w:val="13"/>
        </w:numPr>
        <w:tabs>
          <w:tab w:val="left" w:pos="980"/>
        </w:tabs>
        <w:adjustRightInd w:val="0"/>
        <w:snapToGrid w:val="0"/>
        <w:spacing w:before="0" w:line="560" w:lineRule="exact"/>
        <w:ind w:firstLine="480" w:firstLineChars="200"/>
        <w:rPr>
          <w:rFonts w:hint="eastAsia" w:ascii="仿宋" w:hAnsi="仿宋" w:cs="仿宋"/>
        </w:rPr>
      </w:pPr>
      <w:r>
        <w:rPr>
          <w:rFonts w:hint="eastAsia" w:ascii="仿宋" w:hAnsi="仿宋" w:cs="仿宋"/>
        </w:rPr>
        <w:t>甲方开票信息：</w:t>
      </w:r>
    </w:p>
    <w:tbl>
      <w:tblPr>
        <w:tblStyle w:val="10"/>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单位名称：</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lang w:eastAsia="zh"/>
              </w:rPr>
              <w:t>中国机械科学研究总院集团有限公司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地    址：</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lang w:eastAsia="zh"/>
              </w:rPr>
              <w:t>北京市海淀区首体南路2号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lang w:eastAsia="zh"/>
              </w:rPr>
              <w:t>电    话：</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ascii="仿宋" w:hAnsi="仿宋" w:cs="仿宋"/>
                <w:lang w:eastAsia="zh"/>
              </w:rPr>
              <w:t>010-88301646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开户银行：</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工行百万庄支行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银行账号：</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ascii="仿宋" w:hAnsi="仿宋" w:cs="仿宋"/>
              </w:rPr>
              <w:t>0200001409089015618</w:t>
            </w:r>
            <w:r>
              <w:rPr>
                <w:rFonts w:ascii="Calibri" w:hAnsi="Calibri"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税    号：</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lang w:eastAsia="zh"/>
              </w:rPr>
              <w:t>91110000400008060U</w:t>
            </w:r>
          </w:p>
        </w:tc>
      </w:tr>
    </w:tbl>
    <w:p>
      <w:pPr>
        <w:numPr>
          <w:ilvl w:val="0"/>
          <w:numId w:val="13"/>
        </w:numPr>
        <w:adjustRightInd w:val="0"/>
        <w:snapToGrid w:val="0"/>
        <w:spacing w:before="0" w:line="560" w:lineRule="exact"/>
        <w:ind w:firstLine="480" w:firstLineChars="200"/>
        <w:rPr>
          <w:rFonts w:hint="eastAsia" w:ascii="仿宋" w:hAnsi="仿宋" w:cs="仿宋"/>
        </w:rPr>
      </w:pPr>
      <w:r>
        <w:rPr>
          <w:rFonts w:hint="eastAsia" w:ascii="仿宋" w:hAnsi="仿宋" w:cs="仿宋"/>
        </w:rPr>
        <w:t>乙方开户银行名称、单位名称和账号为：</w:t>
      </w:r>
    </w:p>
    <w:tbl>
      <w:tblPr>
        <w:tblStyle w:val="10"/>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adjustRightInd w:val="0"/>
              <w:snapToGrid w:val="0"/>
              <w:spacing w:before="0" w:line="560" w:lineRule="exact"/>
              <w:rPr>
                <w:rFonts w:hint="eastAsia" w:ascii="仿宋" w:hAnsi="仿宋" w:cs="仿宋"/>
              </w:rPr>
            </w:pPr>
            <w:r>
              <w:rPr>
                <w:rFonts w:hint="eastAsia" w:ascii="仿宋" w:hAnsi="仿宋" w:cs="仿宋"/>
              </w:rPr>
              <w:t>开户银行：</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单位名称：</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r>
              <w:rPr>
                <w:rFonts w:hint="eastAsia" w:ascii="仿宋" w:hAnsi="仿宋" w:cs="仿宋"/>
              </w:rPr>
              <w:t>账号：</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Borders>
              <w:top w:val="nil"/>
              <w:left w:val="nil"/>
              <w:bottom w:val="nil"/>
              <w:right w:val="nil"/>
            </w:tcBorders>
            <w:vAlign w:val="center"/>
          </w:tcPr>
          <w:p>
            <w:pPr>
              <w:adjustRightInd w:val="0"/>
              <w:snapToGrid w:val="0"/>
              <w:spacing w:before="0" w:line="560" w:lineRule="exact"/>
              <w:rPr>
                <w:rFonts w:hint="eastAsia" w:ascii="仿宋" w:hAnsi="仿宋" w:cs="仿宋"/>
                <w:lang w:eastAsia="zh"/>
              </w:rPr>
            </w:pPr>
            <w:r>
              <w:rPr>
                <w:rFonts w:hint="eastAsia" w:ascii="仿宋" w:hAnsi="仿宋" w:cs="仿宋"/>
              </w:rPr>
              <w:t>开户行行号</w:t>
            </w:r>
            <w:r>
              <w:rPr>
                <w:rFonts w:hint="eastAsia" w:ascii="仿宋" w:hAnsi="仿宋" w:cs="仿宋"/>
                <w:lang w:eastAsia="zh"/>
              </w:rPr>
              <w:t>：</w:t>
            </w:r>
          </w:p>
        </w:tc>
        <w:tc>
          <w:tcPr>
            <w:tcW w:w="4288" w:type="dxa"/>
            <w:tcBorders>
              <w:top w:val="nil"/>
              <w:left w:val="nil"/>
              <w:bottom w:val="nil"/>
              <w:right w:val="nil"/>
            </w:tcBorders>
            <w:vAlign w:val="center"/>
          </w:tcPr>
          <w:p>
            <w:pPr>
              <w:tabs>
                <w:tab w:val="left" w:pos="980"/>
              </w:tabs>
              <w:adjustRightInd w:val="0"/>
              <w:snapToGrid w:val="0"/>
              <w:spacing w:before="0" w:line="560" w:lineRule="exact"/>
              <w:rPr>
                <w:rFonts w:hint="eastAsia" w:ascii="仿宋" w:hAnsi="仿宋" w:cs="仿宋"/>
              </w:rPr>
            </w:pPr>
          </w:p>
        </w:tc>
      </w:tr>
    </w:tbl>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五、保密条款</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乙方应当对洽商、签署和履行本合同过程中知悉的甲方的商业信息和秘密、技术信息和秘密，以及甲方提供给乙方的文件资料等，具体包括但不限于：所有业务数据、技术资料和内部信息等予以保密（以下统称“保密信息”），不得以任何方式泄露给其他任何第三方。</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2、未经甲方书面同意，乙方不得将保密信息用于本合同之外的用途或目的，不得将保密信息提供给其他任何第三方使用。</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3、本合同终止时，乙方应按甲方要求归还保密资料或销毁，不得以任何方式留存或复制。</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4、未经甲方事先书面许可，乙方不得在今后的教学、培训、论文发表、研讨等公开场合或为其他第三方提供服务过程中以任何明示或暗示方式提供、引用保密信息。</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5、如乙方违反上述保密义务，乙方应当支付甲方合同总价款xx%的违约金，并赔偿甲方因此遭受的其他全部经济损失。</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6、本保密义务在合同期满、解除或者终止后仍然长期有效。</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六、验收方式及标准</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1、乙方完成技术服务工作的形式：</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按本合同第二条第3款约定的进度，提交相应的书面及电子版交付成果。</w:t>
      </w:r>
    </w:p>
    <w:p>
      <w:pPr>
        <w:numPr>
          <w:ilvl w:val="0"/>
          <w:numId w:val="12"/>
        </w:numPr>
        <w:adjustRightInd w:val="0"/>
        <w:snapToGrid w:val="0"/>
        <w:spacing w:before="0" w:line="560" w:lineRule="exact"/>
        <w:ind w:firstLine="480" w:firstLineChars="200"/>
        <w:rPr>
          <w:rFonts w:hint="eastAsia" w:ascii="仿宋" w:hAnsi="仿宋" w:cs="仿宋"/>
        </w:rPr>
      </w:pPr>
      <w:r>
        <w:rPr>
          <w:rFonts w:hint="eastAsia" w:ascii="仿宋" w:hAnsi="仿宋" w:cs="仿宋"/>
        </w:rPr>
        <w:t>技术服务工作成果的验收标准：</w:t>
      </w:r>
    </w:p>
    <w:p>
      <w:pPr>
        <w:adjustRightInd w:val="0"/>
        <w:snapToGrid w:val="0"/>
        <w:spacing w:before="0" w:line="560" w:lineRule="exact"/>
        <w:ind w:left="480" w:leftChars="200"/>
        <w:rPr>
          <w:rFonts w:hint="eastAsia" w:ascii="仿宋" w:hAnsi="仿宋" w:cs="仿宋"/>
          <w:lang w:eastAsia="zh"/>
        </w:rPr>
      </w:pPr>
      <w:r>
        <w:rPr>
          <w:rFonts w:hint="eastAsia" w:ascii="仿宋" w:hAnsi="仿宋" w:cs="仿宋"/>
          <w:lang w:eastAsia="zh"/>
        </w:rPr>
        <w:t>（1）乙方提交的成果文件内容完整、格式规范，符合本合同及《招标文件》的要求。</w:t>
      </w:r>
    </w:p>
    <w:p>
      <w:pPr>
        <w:adjustRightInd w:val="0"/>
        <w:snapToGrid w:val="0"/>
        <w:spacing w:before="0" w:line="560" w:lineRule="exact"/>
        <w:ind w:left="480" w:leftChars="200"/>
        <w:rPr>
          <w:rFonts w:hint="eastAsia" w:ascii="仿宋" w:hAnsi="仿宋" w:cs="仿宋"/>
          <w:lang w:eastAsia="zh"/>
        </w:rPr>
      </w:pPr>
      <w:r>
        <w:rPr>
          <w:rFonts w:hint="eastAsia" w:ascii="仿宋" w:hAnsi="仿宋" w:cs="仿宋"/>
          <w:lang w:eastAsia="zh"/>
        </w:rPr>
        <w:t>（2）成果文件通过甲方组织的专家评审或甲方内部评审，并取得书面通过的结论。</w:t>
      </w:r>
    </w:p>
    <w:p>
      <w:pPr>
        <w:adjustRightInd w:val="0"/>
        <w:snapToGrid w:val="0"/>
        <w:spacing w:before="0" w:line="560" w:lineRule="exact"/>
        <w:ind w:left="480" w:leftChars="200"/>
        <w:rPr>
          <w:rFonts w:hint="eastAsia" w:ascii="仿宋" w:hAnsi="仿宋" w:cs="仿宋"/>
          <w:lang w:eastAsia="zh"/>
        </w:rPr>
      </w:pPr>
      <w:r>
        <w:rPr>
          <w:rFonts w:hint="eastAsia" w:ascii="仿宋" w:hAnsi="仿宋" w:cs="仿宋"/>
          <w:lang w:eastAsia="zh"/>
        </w:rPr>
        <w:t>（3）若甲方对成果提出合理修改意见，乙方应在双方商定的期限内完成修改。</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3、技术服务工作成果的验收方法：</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各阶段成果交付后【15】个工作日内，甲方组织评审。验收合格的，由甲方出具书面验收通过证明；验收不合格的，甲方应书面说明理由，乙方应在收到通知后【10】个工作日内无偿修改并重新提交，因此延误的工期由乙方承担责任。</w:t>
      </w:r>
    </w:p>
    <w:p>
      <w:pPr>
        <w:numPr>
          <w:ilvl w:val="0"/>
          <w:numId w:val="12"/>
        </w:numPr>
        <w:adjustRightInd w:val="0"/>
        <w:snapToGrid w:val="0"/>
        <w:spacing w:before="0" w:line="560" w:lineRule="exact"/>
        <w:ind w:firstLine="480" w:firstLineChars="200"/>
        <w:rPr>
          <w:rFonts w:hint="eastAsia" w:ascii="仿宋" w:hAnsi="仿宋" w:cs="仿宋"/>
        </w:rPr>
      </w:pPr>
      <w:r>
        <w:rPr>
          <w:rFonts w:hint="eastAsia" w:ascii="仿宋" w:hAnsi="仿宋" w:cs="仿宋"/>
        </w:rPr>
        <w:t>需交付材料包含但不限于（以下文件各两份）：</w:t>
      </w:r>
    </w:p>
    <w:p>
      <w:pPr>
        <w:adjustRightInd w:val="0"/>
        <w:snapToGrid w:val="0"/>
        <w:spacing w:before="0" w:line="560" w:lineRule="exact"/>
        <w:ind w:firstLine="240" w:firstLineChars="100"/>
        <w:rPr>
          <w:rFonts w:hint="eastAsia" w:ascii="仿宋" w:hAnsi="仿宋" w:cs="仿宋"/>
        </w:rPr>
      </w:pPr>
      <w:r>
        <w:rPr>
          <w:rFonts w:hint="eastAsia" w:ascii="仿宋" w:hAnsi="仿宋" w:cs="仿宋"/>
          <w:lang w:eastAsia="zh"/>
        </w:rPr>
        <w:t>（1）《“十四五”信息化建设成效评估报告》、《需求分析报告》等</w:t>
      </w:r>
    </w:p>
    <w:p>
      <w:pPr>
        <w:adjustRightInd w:val="0"/>
        <w:snapToGrid w:val="0"/>
        <w:spacing w:before="0" w:line="560" w:lineRule="exact"/>
        <w:ind w:firstLine="240" w:firstLineChars="100"/>
        <w:rPr>
          <w:rFonts w:hint="eastAsia" w:ascii="仿宋" w:hAnsi="仿宋" w:cs="仿宋"/>
        </w:rPr>
      </w:pPr>
      <w:r>
        <w:rPr>
          <w:rFonts w:hint="eastAsia" w:ascii="仿宋" w:hAnsi="仿宋" w:cs="仿宋"/>
          <w:lang w:eastAsia="zh"/>
        </w:rPr>
        <w:t>（2）《集团“十五五” 数字化总体架构设计报告》等</w:t>
      </w:r>
    </w:p>
    <w:p>
      <w:pPr>
        <w:adjustRightInd w:val="0"/>
        <w:snapToGrid w:val="0"/>
        <w:spacing w:before="0" w:line="560" w:lineRule="exact"/>
        <w:ind w:firstLine="240" w:firstLineChars="100"/>
        <w:rPr>
          <w:rFonts w:hint="eastAsia" w:ascii="仿宋" w:hAnsi="仿宋" w:cs="仿宋"/>
        </w:rPr>
      </w:pPr>
      <w:r>
        <w:rPr>
          <w:rFonts w:ascii="仿宋" w:hAnsi="仿宋" w:cs="仿宋"/>
        </w:rPr>
        <w:t>（</w:t>
      </w:r>
      <w:r>
        <w:rPr>
          <w:rFonts w:hint="eastAsia" w:ascii="仿宋" w:hAnsi="仿宋" w:cs="仿宋"/>
        </w:rPr>
        <w:t>3）《集团“十五五” 数字化转型规划（征求意见稿）》等</w:t>
      </w:r>
    </w:p>
    <w:p>
      <w:pPr>
        <w:adjustRightInd w:val="0"/>
        <w:snapToGrid w:val="0"/>
        <w:spacing w:before="0" w:line="560" w:lineRule="exact"/>
        <w:ind w:firstLine="240" w:firstLineChars="100"/>
        <w:rPr>
          <w:rFonts w:hint="eastAsia" w:ascii="仿宋" w:hAnsi="仿宋" w:cs="仿宋"/>
          <w:lang w:eastAsia="zh"/>
        </w:rPr>
      </w:pPr>
      <w:r>
        <w:rPr>
          <w:rFonts w:hint="eastAsia" w:ascii="仿宋" w:hAnsi="仿宋" w:cs="仿宋"/>
          <w:lang w:eastAsia="zh"/>
        </w:rPr>
        <w:t>（</w:t>
      </w:r>
      <w:r>
        <w:rPr>
          <w:rFonts w:hint="eastAsia" w:ascii="仿宋" w:hAnsi="仿宋" w:cs="仿宋"/>
        </w:rPr>
        <w:t>4</w:t>
      </w:r>
      <w:r>
        <w:rPr>
          <w:rFonts w:hint="eastAsia" w:ascii="仿宋" w:hAnsi="仿宋" w:cs="仿宋"/>
          <w:lang w:eastAsia="zh"/>
        </w:rPr>
        <w:t>《集团“十五五” 数字化转型规划（正式稿）》（含</w:t>
      </w:r>
      <w:r>
        <w:rPr>
          <w:rFonts w:hint="eastAsia" w:ascii="仿宋" w:hAnsi="仿宋" w:cs="仿宋"/>
        </w:rPr>
        <w:t>AI+管理、</w:t>
      </w:r>
      <w:r>
        <w:rPr>
          <w:rFonts w:hint="eastAsia" w:ascii="仿宋" w:hAnsi="仿宋" w:cs="仿宋"/>
          <w:lang w:eastAsia="zh"/>
        </w:rPr>
        <w:t>财务数智化转型</w:t>
      </w:r>
      <w:r>
        <w:rPr>
          <w:rFonts w:hint="eastAsia" w:ascii="仿宋" w:hAnsi="仿宋" w:cs="仿宋"/>
        </w:rPr>
        <w:t>及</w:t>
      </w:r>
      <w:r>
        <w:rPr>
          <w:rFonts w:hint="eastAsia" w:ascii="仿宋" w:hAnsi="仿宋" w:cs="仿宋"/>
          <w:lang w:eastAsia="zh"/>
        </w:rPr>
        <w:t>智能化穿透式监管、AI+科研等专题章节）及配套服务</w:t>
      </w:r>
    </w:p>
    <w:p>
      <w:pPr>
        <w:adjustRightInd w:val="0"/>
        <w:snapToGrid w:val="0"/>
        <w:spacing w:before="0" w:line="560" w:lineRule="exact"/>
        <w:ind w:firstLine="240" w:firstLineChars="100"/>
        <w:rPr>
          <w:rFonts w:hint="eastAsia" w:ascii="仿宋" w:hAnsi="仿宋" w:cs="仿宋"/>
          <w:lang w:eastAsia="zh"/>
        </w:rPr>
      </w:pPr>
      <w:r>
        <w:rPr>
          <w:rFonts w:hint="eastAsia" w:ascii="仿宋" w:hAnsi="仿宋" w:cs="仿宋"/>
          <w:lang w:eastAsia="zh"/>
        </w:rPr>
        <w:t>（</w:t>
      </w:r>
      <w:r>
        <w:rPr>
          <w:rFonts w:hint="eastAsia" w:ascii="仿宋" w:hAnsi="仿宋" w:cs="仿宋"/>
        </w:rPr>
        <w:t>5</w:t>
      </w:r>
      <w:r>
        <w:rPr>
          <w:rFonts w:hint="eastAsia" w:ascii="仿宋" w:hAnsi="仿宋" w:cs="仿宋"/>
          <w:lang w:eastAsia="zh"/>
        </w:rPr>
        <w:t>年度实施评估报告及调整建议</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lang w:eastAsia="zh"/>
        </w:rPr>
        <w:t>上述成果需提供纸质版（加盖乙方单位公章）8份，电子版2份（Word可编辑版和PDF版各1份）。</w:t>
      </w:r>
    </w:p>
    <w:p>
      <w:pPr>
        <w:numPr>
          <w:ilvl w:val="0"/>
          <w:numId w:val="12"/>
        </w:numPr>
        <w:adjustRightInd w:val="0"/>
        <w:snapToGrid w:val="0"/>
        <w:spacing w:before="0" w:line="560" w:lineRule="exact"/>
        <w:ind w:firstLine="480" w:firstLineChars="200"/>
        <w:rPr>
          <w:rFonts w:hint="eastAsia" w:ascii="仿宋" w:hAnsi="仿宋" w:cs="仿宋"/>
        </w:rPr>
      </w:pPr>
      <w:r>
        <w:rPr>
          <w:rFonts w:hint="eastAsia" w:ascii="仿宋" w:hAnsi="仿宋" w:cs="仿宋"/>
        </w:rPr>
        <w:t>验收的时间和地点：</w:t>
      </w:r>
    </w:p>
    <w:p>
      <w:pPr>
        <w:adjustRightInd w:val="0"/>
        <w:snapToGrid w:val="0"/>
        <w:spacing w:before="0" w:line="560" w:lineRule="exact"/>
        <w:ind w:left="480" w:leftChars="200"/>
        <w:rPr>
          <w:rFonts w:hint="eastAsia" w:ascii="仿宋" w:hAnsi="仿宋" w:cs="仿宋"/>
          <w:lang w:eastAsia="zh"/>
        </w:rPr>
      </w:pPr>
      <w:r>
        <w:rPr>
          <w:rFonts w:hint="eastAsia" w:ascii="仿宋" w:hAnsi="仿宋" w:cs="仿宋"/>
          <w:lang w:eastAsia="zh"/>
        </w:rPr>
        <w:t>按本合同第二条第3款约定的进度，在【甲方所在地】进行。</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七、知识产权归属及使用</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甲乙双方各自的技术成果、知识产权及相关权益归各自所有，任何一方未经对方书面许可不得用于本合同外的目的。乙方承诺与本项目有关的技术成果、知识产权不侵犯其他第三方的权益，并自行承担由此产生的全部责任，赔偿甲方因此遭受的经济损失。</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rPr>
        <w:t>2、在本合同有效期内，乙方交付甲方技术服务成果的知识产权归甲方所有；甲方利用乙方提交的技术服务工作成果所完成的新的技术成果、知识产权及相关权益，</w:t>
      </w:r>
      <w:r>
        <w:rPr>
          <w:rFonts w:hint="eastAsia" w:ascii="仿宋" w:hAnsi="仿宋" w:cs="仿宋"/>
          <w:lang w:eastAsia="zh"/>
        </w:rPr>
        <w:t>归甲方所有</w:t>
      </w:r>
      <w:r>
        <w:rPr>
          <w:rFonts w:hint="eastAsia" w:ascii="仿宋" w:hAnsi="仿宋" w:cs="仿宋"/>
        </w:rPr>
        <w:t>。使用约定：</w:t>
      </w:r>
      <w:r>
        <w:rPr>
          <w:rFonts w:hint="eastAsia" w:ascii="仿宋" w:hAnsi="仿宋" w:cs="仿宋"/>
          <w:lang w:eastAsia="zh"/>
        </w:rPr>
        <w:t>甲方有权不受限制地使用、复制、修改、发行及许可第三方使用。</w:t>
      </w:r>
    </w:p>
    <w:p>
      <w:pPr>
        <w:adjustRightInd w:val="0"/>
        <w:snapToGrid w:val="0"/>
        <w:spacing w:before="0" w:line="560" w:lineRule="exact"/>
        <w:ind w:firstLine="480" w:firstLineChars="200"/>
        <w:rPr>
          <w:rFonts w:hint="eastAsia" w:ascii="仿宋" w:hAnsi="仿宋" w:cs="仿宋"/>
          <w:lang w:eastAsia="zh"/>
        </w:rPr>
      </w:pPr>
      <w:r>
        <w:rPr>
          <w:rFonts w:hint="eastAsia" w:ascii="仿宋" w:hAnsi="仿宋" w:cs="仿宋"/>
        </w:rPr>
        <w:t>3、在本合同有效期内，乙方利用甲方提供的技术资料和工作条件所完成的新的技术成果、知识产权及相关权益，归</w:t>
      </w:r>
      <w:r>
        <w:rPr>
          <w:rFonts w:hint="eastAsia" w:ascii="仿宋" w:hAnsi="仿宋" w:cs="仿宋"/>
          <w:lang w:eastAsia="zh"/>
        </w:rPr>
        <w:t>甲方</w:t>
      </w:r>
      <w:r>
        <w:rPr>
          <w:rFonts w:hint="eastAsia" w:ascii="仿宋" w:hAnsi="仿宋" w:cs="仿宋"/>
        </w:rPr>
        <w:t>所有</w:t>
      </w:r>
      <w:r>
        <w:rPr>
          <w:rFonts w:hint="eastAsia" w:ascii="仿宋" w:hAnsi="仿宋" w:cs="仿宋"/>
          <w:lang w:eastAsia="zh"/>
        </w:rPr>
        <w:t>。乙方为履行本合同而使用的、在签订本合同前已合法拥有的知识产权，其所有权仍归乙方，但乙方应授予甲方一项为使用本合同项下成果所必需的、永久的、免费的、不可撤销的许可。使用约定：未经甲方书面同意，乙方不得将履行本合同过程中形成的任何成果（包括中间成果和最终成果）用于本合同以外的任何目的。</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八、违约责任</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1、乙方逾期向甲方提供服务、交付工作成果的，每逾期1天，乙方应向甲方支付合同款总额</w:t>
      </w:r>
      <w:r>
        <w:rPr>
          <w:rFonts w:hint="eastAsia" w:ascii="仿宋" w:hAnsi="仿宋" w:cs="仿宋"/>
          <w:u w:val="single"/>
          <w:lang w:eastAsia="zh"/>
        </w:rPr>
        <w:t>0.5</w:t>
      </w:r>
      <w:r>
        <w:rPr>
          <w:rFonts w:hint="eastAsia" w:ascii="仿宋" w:hAnsi="仿宋" w:cs="仿宋"/>
        </w:rPr>
        <w:t>%的违约金。</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2、除本合同另有约定外，甲乙双方任何一方违反本合同约定的，违约方应向守约方支付合同款总额10%的违约金，并赔偿守约方因此遭受的其他经济损失。</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九、指定项目联系人</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双方确定，在本合同有效期内，甲方指定</w:t>
      </w:r>
      <w:r>
        <w:rPr>
          <w:rFonts w:hint="eastAsia" w:ascii="仿宋" w:hAnsi="仿宋" w:cs="仿宋"/>
          <w:u w:val="single"/>
          <w:lang w:eastAsia="zh"/>
        </w:rPr>
        <w:t xml:space="preserve">    </w:t>
      </w:r>
      <w:r>
        <w:rPr>
          <w:rFonts w:hint="eastAsia" w:ascii="仿宋" w:hAnsi="仿宋" w:cs="仿宋"/>
        </w:rPr>
        <w:t>为甲方项目联系人，乙方指定</w:t>
      </w:r>
      <w:r>
        <w:rPr>
          <w:rFonts w:hint="eastAsia" w:ascii="仿宋" w:hAnsi="仿宋" w:cs="仿宋"/>
          <w:lang w:eastAsia="zh"/>
        </w:rPr>
        <w:t>____</w:t>
      </w:r>
      <w:r>
        <w:rPr>
          <w:rFonts w:hint="eastAsia" w:ascii="仿宋" w:hAnsi="仿宋" w:cs="仿宋"/>
        </w:rPr>
        <w:t>为乙方项目联系人，项目联系人承担以下责任：</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1、按照约定联系时间、联系方式和联系地点完成交办的相关工作；</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2、防止因人事变动而使本合同难以履行或无法履行；</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3、保证以适当的时间、方式、标准履行本合同。</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一方变更项目联系人的，应当及时以书面形式通知另一方。未及时通知并影响本合同履行或造成损失的，应承担相应的责任。</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十、合同的解除</w:t>
      </w:r>
    </w:p>
    <w:p>
      <w:pPr>
        <w:adjustRightInd w:val="0"/>
        <w:snapToGrid w:val="0"/>
        <w:spacing w:before="0" w:line="560" w:lineRule="exact"/>
        <w:ind w:left="-525" w:firstLine="960" w:firstLineChars="400"/>
        <w:rPr>
          <w:rFonts w:hint="eastAsia" w:ascii="仿宋" w:hAnsi="仿宋" w:cs="仿宋"/>
        </w:rPr>
      </w:pPr>
      <w:r>
        <w:rPr>
          <w:rFonts w:hint="eastAsia" w:ascii="仿宋" w:hAnsi="仿宋" w:cs="仿宋"/>
        </w:rPr>
        <w:t>双方确定，出现下列情形，可以解除本合同：</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1、对于乙方的下列违约，甲方向乙方发出书面违约通知，甲方有权选择全部或部分地解除合同，要求乙方支付20%违约金，如因此给甲方造成损失的，乙方应赔偿甲方因此而受到的损失：</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（1）乙方超过合同规定的期限后</w:t>
      </w:r>
      <w:r>
        <w:rPr>
          <w:rFonts w:hint="eastAsia" w:ascii="仿宋" w:hAnsi="仿宋" w:cs="仿宋"/>
          <w:lang w:eastAsia="zh"/>
        </w:rPr>
        <w:t>30</w:t>
      </w:r>
      <w:r>
        <w:rPr>
          <w:rFonts w:hint="eastAsia" w:ascii="仿宋" w:hAnsi="仿宋" w:cs="仿宋"/>
        </w:rPr>
        <w:t>日内仍未全部履行合同义务，未能使合同设备达到本合同约定的性能和技术指标；</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（2）乙方不能履行合同规定的其他义务致使甲方合同目的不能实现，甲方发出的违约通知后</w:t>
      </w:r>
      <w:r>
        <w:rPr>
          <w:rFonts w:hint="eastAsia" w:ascii="仿宋" w:hAnsi="仿宋" w:cs="仿宋"/>
          <w:lang w:eastAsia="zh"/>
        </w:rPr>
        <w:t>30</w:t>
      </w:r>
      <w:r>
        <w:rPr>
          <w:rFonts w:hint="eastAsia" w:ascii="仿宋" w:hAnsi="仿宋" w:cs="仿宋"/>
        </w:rPr>
        <w:t>天内仍未弥补其过失，或弥补后仍不符合合同约定的。</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2、一方破产或无力偿还债务，另一方可随时向其发出书面通知解除本合同，解除合同并不损害或影响任何其他可能的补救措施；</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甲方全部或部分解除本合同的，甲方可选择收取乙方支付的解除合同的违约金或从其他方取得与乙方未交付技术资料或技术服务，乙方承担甲方因此而多支出的所有的费用。部分解除合同的，乙方应继续履行合同中未解除的部分。</w:t>
      </w:r>
    </w:p>
    <w:p>
      <w:pPr>
        <w:adjustRightInd w:val="0"/>
        <w:snapToGrid w:val="0"/>
        <w:spacing w:before="0" w:line="560" w:lineRule="exact"/>
        <w:ind w:firstLine="482" w:firstLineChars="200"/>
        <w:rPr>
          <w:rFonts w:hint="eastAsia" w:ascii="仿宋" w:hAnsi="仿宋" w:cs="仿宋"/>
        </w:rPr>
      </w:pPr>
      <w:r>
        <w:rPr>
          <w:rFonts w:hint="eastAsia" w:ascii="仿宋" w:hAnsi="仿宋" w:cs="仿宋"/>
          <w:b/>
        </w:rPr>
        <w:t>十一、不可抗力</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本合同所指不可抗力，是指不能预见、不能避免并不能克服的客观情况；</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由于不可抗力事件，致使一方在履行其在本合同项下的义务过程中遇到障碍或延误，不能按约定的条款全部或部分履行其义务的，遇到不可抗力事件的一方（“受阻方”），受阻方应当立即书面通知对方，并在不可抗力事件发生后的xx天内提供有关该事件的证明文件和书面说明，书面说明中应包括对延迟履行或部分履行本合同的原因说明。</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adjustRightInd w:val="0"/>
        <w:snapToGrid w:val="0"/>
        <w:spacing w:before="0" w:line="560" w:lineRule="exact"/>
        <w:ind w:firstLine="482" w:firstLineChars="200"/>
        <w:rPr>
          <w:rFonts w:hint="eastAsia" w:ascii="仿宋" w:hAnsi="仿宋" w:cs="仿宋"/>
        </w:rPr>
      </w:pPr>
      <w:r>
        <w:rPr>
          <w:rFonts w:hint="eastAsia" w:ascii="仿宋" w:hAnsi="仿宋" w:cs="仿宋"/>
          <w:b/>
        </w:rPr>
        <w:t xml:space="preserve">十二、争议解决 </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本合同发生争议时，甲乙双方应及时协商解决；如果协商不成时，任何一方均可向甲方所在地有管辖权的人民法院提起诉讼。因诉讼产生的包括但不限于诉讼费、保全费、担保费、律师费、公证费、差旅费等，由败诉一方承担；</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诉讼期间，本合同双方无争议部分，双方应继续履行。</w:t>
      </w:r>
    </w:p>
    <w:p>
      <w:pPr>
        <w:tabs>
          <w:tab w:val="left" w:pos="315"/>
        </w:tabs>
        <w:adjustRightInd w:val="0"/>
        <w:snapToGrid w:val="0"/>
        <w:spacing w:before="0" w:line="560" w:lineRule="exact"/>
        <w:ind w:firstLine="482" w:firstLineChars="200"/>
        <w:rPr>
          <w:rFonts w:hint="eastAsia" w:ascii="仿宋" w:hAnsi="仿宋" w:cs="仿宋"/>
        </w:rPr>
      </w:pPr>
      <w:r>
        <w:rPr>
          <w:rFonts w:hint="eastAsia" w:ascii="仿宋" w:hAnsi="仿宋" w:cs="仿宋"/>
          <w:b/>
        </w:rPr>
        <w:t>十三、</w:t>
      </w:r>
      <w:r>
        <w:rPr>
          <w:rFonts w:hint="eastAsia" w:ascii="仿宋" w:hAnsi="仿宋" w:cs="仿宋"/>
        </w:rPr>
        <w:t>与履行本合同有关的下列技术文件，经双方以方式确认后，为本合同的组成部分。</w:t>
      </w:r>
    </w:p>
    <w:p>
      <w:pPr>
        <w:adjustRightInd w:val="0"/>
        <w:snapToGrid w:val="0"/>
        <w:spacing w:before="0" w:line="560" w:lineRule="exact"/>
        <w:ind w:firstLine="482" w:firstLineChars="200"/>
        <w:rPr>
          <w:rFonts w:hint="eastAsia" w:ascii="仿宋" w:hAnsi="仿宋" w:cs="仿宋"/>
          <w:b/>
        </w:rPr>
      </w:pPr>
      <w:r>
        <w:rPr>
          <w:rFonts w:hint="eastAsia" w:ascii="仿宋" w:hAnsi="仿宋" w:cs="仿宋"/>
          <w:b/>
        </w:rPr>
        <w:t>十四、合同生效及其他约定</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1、本合同由甲乙双方盖章、法定代表人或授权代表签字后生效。</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2、未经甲方书面同意，乙方不得对外转让、转移其在本合同项下的权利义务，乙方擅自转让、转移的，对甲方没有法律约束力，且乙方应赔偿因此给甲方造成的所有经济损失（包括但不限于直接经济损失、预期收益、律师费、担保费、公证费、差旅费等）。</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3、本合同未尽事宜，双方协商签署书面补充协议予以确定。</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4、本合同一式四份，甲乙双方各执两份，具有同等法律效力；</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5、本合同无附件。</w:t>
      </w:r>
    </w:p>
    <w:p>
      <w:pPr>
        <w:adjustRightInd w:val="0"/>
        <w:snapToGrid w:val="0"/>
        <w:spacing w:before="0" w:line="560" w:lineRule="exact"/>
        <w:ind w:firstLine="480" w:firstLineChars="200"/>
        <w:rPr>
          <w:rFonts w:hint="eastAsia" w:ascii="仿宋" w:hAnsi="仿宋" w:cs="仿宋"/>
        </w:rPr>
      </w:pPr>
      <w:r>
        <w:rPr>
          <w:rFonts w:hint="eastAsia" w:ascii="仿宋" w:hAnsi="仿宋" w:cs="仿宋"/>
        </w:rPr>
        <w:t>（以下无正文，为双方签署页）</w:t>
      </w:r>
    </w:p>
    <w:p>
      <w:pPr>
        <w:adjustRightInd w:val="0"/>
        <w:snapToGrid w:val="0"/>
        <w:spacing w:before="0" w:line="560" w:lineRule="exact"/>
        <w:ind w:firstLine="480" w:firstLineChars="200"/>
        <w:jc w:val="left"/>
        <w:rPr>
          <w:rFonts w:hint="eastAsia" w:ascii="仿宋" w:hAnsi="仿宋" w:cs="仿宋"/>
        </w:rPr>
      </w:pPr>
    </w:p>
    <w:p>
      <w:pPr>
        <w:adjustRightInd w:val="0"/>
        <w:snapToGrid w:val="0"/>
        <w:spacing w:before="0" w:line="560" w:lineRule="exact"/>
        <w:ind w:firstLine="482" w:firstLineChars="200"/>
        <w:jc w:val="left"/>
        <w:rPr>
          <w:rFonts w:hint="eastAsia" w:ascii="仿宋" w:hAnsi="仿宋" w:cs="仿宋"/>
          <w:b/>
        </w:rPr>
      </w:pPr>
      <w:r>
        <w:rPr>
          <w:rFonts w:hint="eastAsia" w:ascii="仿宋" w:hAnsi="仿宋" w:cs="仿宋"/>
          <w:b/>
        </w:rPr>
        <w:t>签署双方：</w:t>
      </w:r>
    </w:p>
    <w:tbl>
      <w:tblPr>
        <w:tblStyle w:val="9"/>
        <w:tblpPr w:leftFromText="180" w:rightFromText="180" w:vertAnchor="text" w:horzAnchor="margin" w:tblpXSpec="center" w:tblpY="18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甲方（买方）</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乙方（卖方）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单位名称（</w:t>
            </w:r>
            <w:r>
              <w:rPr>
                <w:rFonts w:hint="eastAsia" w:ascii="仿宋" w:hAnsi="仿宋" w:cs="仿宋"/>
                <w:lang w:eastAsia="zh"/>
              </w:rPr>
              <w:t>盖</w:t>
            </w:r>
            <w:r>
              <w:rPr>
                <w:rFonts w:hint="eastAsia" w:ascii="仿宋" w:hAnsi="仿宋" w:cs="仿宋"/>
              </w:rPr>
              <w:t>章）：中国机械科学研究总院集团有限公司</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单位名称（</w:t>
            </w:r>
            <w:r>
              <w:rPr>
                <w:rFonts w:hint="eastAsia" w:ascii="仿宋" w:hAnsi="仿宋" w:cs="仿宋"/>
                <w:lang w:eastAsia="zh"/>
              </w:rPr>
              <w:t>盖</w:t>
            </w:r>
            <w:r>
              <w:rPr>
                <w:rFonts w:hint="eastAsia" w:ascii="仿宋" w:hAnsi="仿宋" w:cs="仿宋"/>
              </w:rPr>
              <w:t xml:space="preserve">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lang w:eastAsia="zh"/>
              </w:rPr>
            </w:pPr>
            <w:r>
              <w:rPr>
                <w:rFonts w:hint="eastAsia" w:ascii="仿宋" w:hAnsi="仿宋" w:cs="仿宋"/>
              </w:rPr>
              <w:t>单位地址：北京市</w:t>
            </w:r>
            <w:r>
              <w:rPr>
                <w:rFonts w:hint="eastAsia" w:ascii="仿宋" w:hAnsi="仿宋" w:cs="仿宋"/>
                <w:lang w:eastAsia="zh"/>
              </w:rPr>
              <w:t>海淀区首体南路2号</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法定代表人：</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 xml:space="preserve">法定代表人：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lang w:eastAsia="zh"/>
              </w:rPr>
            </w:pPr>
            <w:r>
              <w:rPr>
                <w:rFonts w:hint="eastAsia" w:ascii="仿宋" w:hAnsi="仿宋" w:cs="仿宋"/>
              </w:rPr>
              <w:t>委托代理人：</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 xml:space="preserve">委托代理人：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电    话：</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 xml:space="preserve">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lang w:eastAsia="zh"/>
              </w:rPr>
            </w:pPr>
            <w:r>
              <w:rPr>
                <w:rFonts w:hint="eastAsia" w:ascii="仿宋" w:hAnsi="仿宋" w:cs="仿宋"/>
              </w:rPr>
              <w:t>开户银行：</w:t>
            </w:r>
            <w:r>
              <w:rPr>
                <w:rFonts w:hint="eastAsia" w:ascii="仿宋" w:hAnsi="仿宋" w:cs="仿宋"/>
                <w:lang w:eastAsia="zh"/>
              </w:rPr>
              <w:t>工行百万庄支行</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lang w:eastAsia="zh"/>
              </w:rPr>
            </w:pPr>
            <w:r>
              <w:rPr>
                <w:rFonts w:hint="eastAsia" w:ascii="仿宋" w:hAnsi="仿宋" w:cs="仿宋"/>
              </w:rPr>
              <w:t>帐    号：</w:t>
            </w:r>
            <w:r>
              <w:rPr>
                <w:rFonts w:hint="eastAsia" w:ascii="仿宋" w:hAnsi="仿宋" w:cs="仿宋"/>
                <w:lang w:eastAsia="zh"/>
              </w:rPr>
              <w:t>0200001409089015618</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lang w:eastAsia="zh"/>
              </w:rPr>
            </w:pPr>
            <w:r>
              <w:rPr>
                <w:rFonts w:hint="eastAsia" w:ascii="仿宋" w:hAnsi="仿宋" w:cs="仿宋"/>
              </w:rPr>
              <w:t>税    号：</w:t>
            </w:r>
            <w:r>
              <w:rPr>
                <w:rFonts w:hint="eastAsia" w:ascii="仿宋" w:hAnsi="仿宋" w:cs="仿宋"/>
                <w:lang w:eastAsia="zh"/>
              </w:rPr>
              <w:t>91110000400008060U</w:t>
            </w:r>
          </w:p>
        </w:tc>
        <w:tc>
          <w:tcPr>
            <w:tcW w:w="4397" w:type="dxa"/>
            <w:tcBorders>
              <w:top w:val="single" w:color="auto" w:sz="4" w:space="0"/>
              <w:left w:val="single" w:color="auto" w:sz="4" w:space="0"/>
              <w:bottom w:val="single" w:color="auto" w:sz="4" w:space="0"/>
              <w:right w:val="single" w:color="auto" w:sz="4" w:space="0"/>
            </w:tcBorders>
            <w:noWrap/>
          </w:tcPr>
          <w:p>
            <w:pPr>
              <w:adjustRightInd w:val="0"/>
              <w:snapToGrid w:val="0"/>
              <w:spacing w:before="0" w:line="560" w:lineRule="exact"/>
              <w:jc w:val="left"/>
              <w:rPr>
                <w:rFonts w:hint="eastAsia" w:ascii="仿宋" w:hAnsi="仿宋" w:cs="仿宋"/>
              </w:rPr>
            </w:pPr>
            <w:r>
              <w:rPr>
                <w:rFonts w:hint="eastAsia" w:ascii="仿宋" w:hAnsi="仿宋" w:cs="仿宋"/>
              </w:rPr>
              <w:t>税    号：</w:t>
            </w:r>
          </w:p>
        </w:tc>
      </w:tr>
      <w:bookmarkEnd w:id="28"/>
    </w:tbl>
    <w:p>
      <w:pPr>
        <w:adjustRightInd w:val="0"/>
        <w:snapToGrid w:val="0"/>
        <w:spacing w:before="0" w:line="56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cs="仿宋"/>
        <w:sz w:val="21"/>
        <w:szCs w:val="21"/>
      </w:rPr>
      <w:id w:val="147473978"/>
    </w:sdtPr>
    <w:sdtEndPr>
      <w:rPr>
        <w:rFonts w:ascii="宋体" w:hAnsi="宋体" w:eastAsia="宋体" w:cs="仿宋"/>
        <w:sz w:val="18"/>
        <w:szCs w:val="18"/>
      </w:rPr>
    </w:sdtEndPr>
    <w:sdtContent>
      <w:p>
        <w:pPr>
          <w:tabs>
            <w:tab w:val="center" w:pos="4153"/>
            <w:tab w:val="right" w:pos="8306"/>
          </w:tabs>
          <w:snapToGrid w:val="0"/>
          <w:spacing w:before="120" w:beforeLines="50"/>
          <w:ind w:firstLine="29" w:firstLineChars="14"/>
          <w:jc w:val="center"/>
          <w:rPr>
            <w:rFonts w:hint="eastAsia" w:ascii="宋体" w:hAnsi="宋体" w:eastAsia="宋体" w:cs="仿宋"/>
            <w:sz w:val="18"/>
            <w:szCs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cs="仿宋"/>
        <w:sz w:val="21"/>
        <w:szCs w:val="21"/>
      </w:rPr>
      <w:id w:val="147470358"/>
    </w:sdtPr>
    <w:sdtEndPr>
      <w:rPr>
        <w:rFonts w:ascii="宋体" w:hAnsi="宋体" w:eastAsia="宋体" w:cs="仿宋"/>
        <w:sz w:val="18"/>
        <w:szCs w:val="18"/>
      </w:rPr>
    </w:sdtEndPr>
    <w:sdtContent>
      <w:p>
        <w:pPr>
          <w:tabs>
            <w:tab w:val="center" w:pos="4153"/>
            <w:tab w:val="right" w:pos="8306"/>
          </w:tabs>
          <w:snapToGrid w:val="0"/>
          <w:spacing w:before="120" w:beforeLines="50"/>
          <w:ind w:firstLine="29" w:firstLineChars="14"/>
          <w:jc w:val="center"/>
          <w:rPr>
            <w:rFonts w:hint="eastAsia" w:ascii="宋体" w:hAnsi="宋体" w:eastAsia="宋体" w:cs="仿宋"/>
            <w:sz w:val="18"/>
            <w:szCs w:val="18"/>
          </w:rPr>
        </w:pPr>
        <w:r>
          <w:rPr>
            <w:rFonts w:ascii="宋体" w:hAnsi="宋体" w:eastAsia="宋体" w:cs="仿宋"/>
            <w:sz w:val="18"/>
            <w:szCs w:val="18"/>
          </w:rPr>
          <w:fldChar w:fldCharType="begin"/>
        </w:r>
        <w:r>
          <w:rPr>
            <w:rFonts w:ascii="宋体" w:hAnsi="宋体" w:eastAsia="宋体" w:cs="仿宋"/>
            <w:sz w:val="18"/>
            <w:szCs w:val="18"/>
          </w:rPr>
          <w:instrText xml:space="preserve">PAGE   \* MERGEFORMAT</w:instrText>
        </w:r>
        <w:r>
          <w:rPr>
            <w:rFonts w:ascii="宋体" w:hAnsi="宋体" w:eastAsia="宋体" w:cs="仿宋"/>
            <w:sz w:val="18"/>
            <w:szCs w:val="18"/>
          </w:rPr>
          <w:fldChar w:fldCharType="separate"/>
        </w:r>
        <w:r>
          <w:rPr>
            <w:rFonts w:ascii="宋体" w:hAnsi="宋体" w:eastAsia="宋体" w:cs="仿宋"/>
            <w:sz w:val="18"/>
            <w:szCs w:val="18"/>
            <w:lang w:val="zh-CN"/>
          </w:rPr>
          <w:t>I</w:t>
        </w:r>
        <w:r>
          <w:rPr>
            <w:rFonts w:ascii="宋体" w:hAnsi="宋体" w:eastAsia="宋体" w:cs="仿宋"/>
            <w:sz w:val="18"/>
            <w:szCs w:val="18"/>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before="120" w:beforeLines="50"/>
      <w:ind w:firstLine="25" w:firstLineChars="14"/>
      <w:rPr>
        <w:rFonts w:hint="eastAsia" w:ascii="宋体" w:hAnsi="宋体" w:eastAsia="宋体" w:cs="仿宋"/>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before="120" w:beforeLines="50"/>
      <w:ind w:firstLine="25" w:firstLineChars="14"/>
      <w:rPr>
        <w:rFonts w:hint="eastAsia" w:ascii="宋体" w:hAnsi="宋体" w:eastAsia="宋体" w:cs="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C35C"/>
    <w:multiLevelType w:val="singleLevel"/>
    <w:tmpl w:val="8226C35C"/>
    <w:lvl w:ilvl="0" w:tentative="0">
      <w:start w:val="2"/>
      <w:numFmt w:val="chineseCounting"/>
      <w:suff w:val="nothing"/>
      <w:lvlText w:val="%1、"/>
      <w:lvlJc w:val="left"/>
      <w:rPr>
        <w:rFonts w:hint="eastAsia"/>
      </w:rPr>
    </w:lvl>
  </w:abstractNum>
  <w:abstractNum w:abstractNumId="1">
    <w:nsid w:val="864CB5CF"/>
    <w:multiLevelType w:val="singleLevel"/>
    <w:tmpl w:val="864CB5CF"/>
    <w:lvl w:ilvl="0" w:tentative="0">
      <w:start w:val="6"/>
      <w:numFmt w:val="decimal"/>
      <w:suff w:val="nothing"/>
      <w:lvlText w:val="（%1）"/>
      <w:lvlJc w:val="left"/>
    </w:lvl>
  </w:abstractNum>
  <w:abstractNum w:abstractNumId="2">
    <w:nsid w:val="88B6C016"/>
    <w:multiLevelType w:val="singleLevel"/>
    <w:tmpl w:val="88B6C016"/>
    <w:lvl w:ilvl="0" w:tentative="0">
      <w:start w:val="4"/>
      <w:numFmt w:val="decimal"/>
      <w:suff w:val="nothing"/>
      <w:lvlText w:val="%1、"/>
      <w:lvlJc w:val="left"/>
    </w:lvl>
  </w:abstractNum>
  <w:abstractNum w:abstractNumId="3">
    <w:nsid w:val="8BCD97E0"/>
    <w:multiLevelType w:val="singleLevel"/>
    <w:tmpl w:val="8BCD97E0"/>
    <w:lvl w:ilvl="0" w:tentative="0">
      <w:start w:val="1"/>
      <w:numFmt w:val="chineseCounting"/>
      <w:suff w:val="nothing"/>
      <w:lvlText w:val="%1、"/>
      <w:lvlJc w:val="left"/>
      <w:rPr>
        <w:rFonts w:hint="eastAsia"/>
      </w:rPr>
    </w:lvl>
  </w:abstractNum>
  <w:abstractNum w:abstractNumId="4">
    <w:nsid w:val="BD77C147"/>
    <w:multiLevelType w:val="singleLevel"/>
    <w:tmpl w:val="BD77C147"/>
    <w:lvl w:ilvl="0" w:tentative="0">
      <w:start w:val="4"/>
      <w:numFmt w:val="decimal"/>
      <w:suff w:val="nothing"/>
      <w:lvlText w:val="%1、"/>
      <w:lvlJc w:val="left"/>
    </w:lvl>
  </w:abstractNum>
  <w:abstractNum w:abstractNumId="5">
    <w:nsid w:val="CB58B7BD"/>
    <w:multiLevelType w:val="singleLevel"/>
    <w:tmpl w:val="CB58B7BD"/>
    <w:lvl w:ilvl="0" w:tentative="0">
      <w:start w:val="1"/>
      <w:numFmt w:val="chineseCounting"/>
      <w:suff w:val="nothing"/>
      <w:lvlText w:val="%1、"/>
      <w:lvlJc w:val="left"/>
      <w:rPr>
        <w:rFonts w:hint="eastAsia"/>
      </w:rPr>
    </w:lvl>
  </w:abstractNum>
  <w:abstractNum w:abstractNumId="6">
    <w:nsid w:val="EB937F2E"/>
    <w:multiLevelType w:val="singleLevel"/>
    <w:tmpl w:val="EB937F2E"/>
    <w:lvl w:ilvl="0" w:tentative="0">
      <w:start w:val="1"/>
      <w:numFmt w:val="decimal"/>
      <w:suff w:val="nothing"/>
      <w:lvlText w:val="%1．"/>
      <w:lvlJc w:val="left"/>
      <w:pPr>
        <w:ind w:left="0" w:firstLine="400"/>
      </w:pPr>
      <w:rPr>
        <w:rFonts w:hint="default"/>
        <w:color w:val="auto"/>
      </w:rPr>
    </w:lvl>
  </w:abstractNum>
  <w:abstractNum w:abstractNumId="7">
    <w:nsid w:val="FB67B112"/>
    <w:multiLevelType w:val="singleLevel"/>
    <w:tmpl w:val="FB67B112"/>
    <w:lvl w:ilvl="0" w:tentative="0">
      <w:start w:val="2"/>
      <w:numFmt w:val="decimal"/>
      <w:suff w:val="nothing"/>
      <w:lvlText w:val="%1、"/>
      <w:lvlJc w:val="left"/>
    </w:lvl>
  </w:abstractNum>
  <w:abstractNum w:abstractNumId="8">
    <w:nsid w:val="0819F8DC"/>
    <w:multiLevelType w:val="singleLevel"/>
    <w:tmpl w:val="0819F8DC"/>
    <w:lvl w:ilvl="0" w:tentative="0">
      <w:start w:val="1"/>
      <w:numFmt w:val="decimal"/>
      <w:lvlText w:val="%1."/>
      <w:lvlJc w:val="left"/>
      <w:pPr>
        <w:ind w:left="851" w:hanging="425"/>
      </w:pPr>
      <w:rPr>
        <w:rFonts w:hint="default"/>
      </w:rPr>
    </w:lvl>
  </w:abstractNum>
  <w:abstractNum w:abstractNumId="9">
    <w:nsid w:val="2CAFBF3D"/>
    <w:multiLevelType w:val="multilevel"/>
    <w:tmpl w:val="2CAFBF3D"/>
    <w:lvl w:ilvl="0" w:tentative="0">
      <w:start w:val="1"/>
      <w:numFmt w:val="chineseCountingThousand"/>
      <w:suff w:val="nothing"/>
      <w:lvlText w:val="第%1章"/>
      <w:lvlJc w:val="left"/>
      <w:pPr>
        <w:ind w:left="0" w:firstLine="39"/>
      </w:pPr>
      <w:rPr>
        <w:rFonts w:hint="eastAsia"/>
      </w:rPr>
    </w:lvl>
    <w:lvl w:ilvl="1" w:tentative="0">
      <w:start w:val="1"/>
      <w:numFmt w:val="chineseCountingThousand"/>
      <w:lvlText w:val="第%2节"/>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decimal"/>
      <w:suff w:val="space"/>
      <w:lvlText w:val="%3.%4"/>
      <w:lvlJc w:val="left"/>
      <w:pPr>
        <w:ind w:left="0" w:firstLine="0"/>
      </w:pPr>
      <w:rPr>
        <w:rFonts w:hint="eastAsia"/>
      </w:rPr>
    </w:lvl>
    <w:lvl w:ilvl="4" w:tentative="0">
      <w:start w:val="1"/>
      <w:numFmt w:val="decimal"/>
      <w:lvlText w:val="%3.%4.%5"/>
      <w:lvlJc w:val="left"/>
      <w:pPr>
        <w:ind w:left="0" w:firstLine="567"/>
      </w:pPr>
      <w:rPr>
        <w:rFonts w:hint="eastAsia"/>
        <w:b w:val="0"/>
        <w:bCs w:val="0"/>
      </w:rPr>
    </w:lvl>
    <w:lvl w:ilvl="5" w:tentative="0">
      <w:start w:val="1"/>
      <w:numFmt w:val="decimal"/>
      <w:lvlText w:val="%3.%4.%5.%6"/>
      <w:lvlJc w:val="left"/>
      <w:pPr>
        <w:tabs>
          <w:tab w:val="left" w:pos="0"/>
        </w:tabs>
        <w:ind w:left="0" w:firstLine="0"/>
      </w:pPr>
      <w:rPr>
        <w:rFonts w:hint="eastAsia"/>
      </w:rPr>
    </w:lvl>
    <w:lvl w:ilvl="6" w:tentative="0">
      <w:start w:val="1"/>
      <w:numFmt w:val="decimal"/>
      <w:lvlText w:val="%3.%4.%5.%6.%7"/>
      <w:lvlJc w:val="left"/>
      <w:pPr>
        <w:tabs>
          <w:tab w:val="left" w:pos="0"/>
        </w:tabs>
        <w:ind w:left="0" w:firstLine="0"/>
      </w:pPr>
      <w:rPr>
        <w:rFonts w:hint="eastAsia"/>
      </w:rPr>
    </w:lvl>
    <w:lvl w:ilvl="7" w:tentative="0">
      <w:start w:val="1"/>
      <w:numFmt w:val="decimal"/>
      <w:lvlText w:val="%3.%4.%5.%6.%7.%8"/>
      <w:lvlJc w:val="left"/>
      <w:pPr>
        <w:tabs>
          <w:tab w:val="left" w:pos="0"/>
        </w:tabs>
        <w:ind w:left="0" w:firstLine="0"/>
      </w:pPr>
      <w:rPr>
        <w:rFonts w:hint="eastAsia"/>
      </w:rPr>
    </w:lvl>
    <w:lvl w:ilvl="8" w:tentative="0">
      <w:start w:val="1"/>
      <w:numFmt w:val="decimal"/>
      <w:lvlText w:val="%3.%4.%5.%6.%7.%8.%9"/>
      <w:lvlJc w:val="left"/>
      <w:pPr>
        <w:ind w:left="0" w:firstLine="0"/>
      </w:pPr>
      <w:rPr>
        <w:rFonts w:hint="eastAsia"/>
      </w:rPr>
    </w:lvl>
  </w:abstractNum>
  <w:abstractNum w:abstractNumId="10">
    <w:nsid w:val="38566E80"/>
    <w:multiLevelType w:val="multilevel"/>
    <w:tmpl w:val="38566E80"/>
    <w:lvl w:ilvl="0" w:tentative="0">
      <w:start w:val="1"/>
      <w:numFmt w:val="chineseCountingThousand"/>
      <w:suff w:val="nothing"/>
      <w:lvlText w:val="第%1章"/>
      <w:lvlJc w:val="left"/>
      <w:pPr>
        <w:ind w:left="0" w:firstLine="0"/>
      </w:pPr>
      <w:rPr>
        <w:rFonts w:hint="eastAsia"/>
      </w:rPr>
    </w:lvl>
    <w:lvl w:ilvl="1" w:tentative="0">
      <w:start w:val="1"/>
      <w:numFmt w:val="chineseCountingThousand"/>
      <w:lvlText w:val="第%2节"/>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decimal"/>
      <w:lvlText w:val="%3.%4"/>
      <w:lvlJc w:val="left"/>
      <w:pPr>
        <w:ind w:left="0" w:firstLine="0"/>
      </w:pPr>
      <w:rPr>
        <w:rFonts w:hint="eastAsia"/>
      </w:rPr>
    </w:lvl>
    <w:lvl w:ilvl="4" w:tentative="0">
      <w:start w:val="1"/>
      <w:numFmt w:val="decimal"/>
      <w:lvlText w:val="%3.%4.%5"/>
      <w:lvlJc w:val="left"/>
      <w:pPr>
        <w:ind w:left="0" w:firstLine="0"/>
      </w:pPr>
      <w:rPr>
        <w:rFonts w:hint="eastAsia"/>
      </w:rPr>
    </w:lvl>
    <w:lvl w:ilvl="5" w:tentative="0">
      <w:start w:val="1"/>
      <w:numFmt w:val="decimal"/>
      <w:lvlText w:val="%3.%4.%5.%6"/>
      <w:lvlJc w:val="left"/>
      <w:pPr>
        <w:tabs>
          <w:tab w:val="left" w:pos="0"/>
        </w:tabs>
        <w:ind w:left="0" w:firstLine="0"/>
      </w:pPr>
      <w:rPr>
        <w:rFonts w:hint="eastAsia"/>
      </w:rPr>
    </w:lvl>
    <w:lvl w:ilvl="6" w:tentative="0">
      <w:start w:val="1"/>
      <w:numFmt w:val="decimal"/>
      <w:lvlText w:val="%3.%4.%5.%6.%7"/>
      <w:lvlJc w:val="left"/>
      <w:pPr>
        <w:tabs>
          <w:tab w:val="left" w:pos="0"/>
        </w:tabs>
        <w:ind w:left="0" w:firstLine="0"/>
      </w:pPr>
      <w:rPr>
        <w:rFonts w:hint="eastAsia"/>
      </w:rPr>
    </w:lvl>
    <w:lvl w:ilvl="7" w:tentative="0">
      <w:start w:val="1"/>
      <w:numFmt w:val="decimal"/>
      <w:lvlText w:val="%3.%4.%5.%6.%7.%8"/>
      <w:lvlJc w:val="left"/>
      <w:pPr>
        <w:tabs>
          <w:tab w:val="left" w:pos="0"/>
        </w:tabs>
        <w:ind w:left="0" w:firstLine="0"/>
      </w:pPr>
      <w:rPr>
        <w:rFonts w:hint="eastAsia"/>
      </w:rPr>
    </w:lvl>
    <w:lvl w:ilvl="8" w:tentative="0">
      <w:start w:val="1"/>
      <w:numFmt w:val="decimal"/>
      <w:lvlText w:val="%3.%4.%5.%6.%7.%8.%9"/>
      <w:lvlJc w:val="left"/>
      <w:pPr>
        <w:ind w:left="0" w:firstLine="0"/>
      </w:pPr>
      <w:rPr>
        <w:rFonts w:hint="eastAsia"/>
      </w:rPr>
    </w:lvl>
  </w:abstractNum>
  <w:abstractNum w:abstractNumId="11">
    <w:nsid w:val="63FB03AB"/>
    <w:multiLevelType w:val="multilevel"/>
    <w:tmpl w:val="63FB03AB"/>
    <w:lvl w:ilvl="0" w:tentative="0">
      <w:start w:val="1"/>
      <w:numFmt w:val="chineseCountingThousand"/>
      <w:suff w:val="nothing"/>
      <w:lvlText w:val="第%1章"/>
      <w:lvlJc w:val="left"/>
      <w:pPr>
        <w:ind w:left="0" w:firstLine="39"/>
      </w:pPr>
      <w:rPr>
        <w:rFonts w:hint="eastAsia"/>
      </w:rPr>
    </w:lvl>
    <w:lvl w:ilvl="1" w:tentative="0">
      <w:start w:val="1"/>
      <w:numFmt w:val="chineseCountingThousand"/>
      <w:lvlText w:val="第%2节"/>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decimal"/>
      <w:suff w:val="space"/>
      <w:lvlText w:val="%3.%4"/>
      <w:lvlJc w:val="left"/>
      <w:pPr>
        <w:ind w:left="0" w:firstLine="0"/>
      </w:pPr>
      <w:rPr>
        <w:rFonts w:hint="eastAsia"/>
      </w:rPr>
    </w:lvl>
    <w:lvl w:ilvl="4" w:tentative="0">
      <w:start w:val="1"/>
      <w:numFmt w:val="decimal"/>
      <w:lvlText w:val="%3.%4.%5"/>
      <w:lvlJc w:val="left"/>
      <w:pPr>
        <w:ind w:left="0" w:firstLine="567"/>
      </w:pPr>
      <w:rPr>
        <w:rFonts w:hint="eastAsia"/>
        <w:b w:val="0"/>
        <w:bCs w:val="0"/>
      </w:rPr>
    </w:lvl>
    <w:lvl w:ilvl="5" w:tentative="0">
      <w:start w:val="1"/>
      <w:numFmt w:val="decimal"/>
      <w:lvlText w:val="%3.%4.%5.%6"/>
      <w:lvlJc w:val="left"/>
      <w:pPr>
        <w:tabs>
          <w:tab w:val="left" w:pos="0"/>
        </w:tabs>
        <w:ind w:left="0" w:firstLine="0"/>
      </w:pPr>
      <w:rPr>
        <w:rFonts w:hint="eastAsia"/>
      </w:rPr>
    </w:lvl>
    <w:lvl w:ilvl="6" w:tentative="0">
      <w:start w:val="1"/>
      <w:numFmt w:val="decimal"/>
      <w:lvlText w:val="%3.%4.%5.%6.%7"/>
      <w:lvlJc w:val="left"/>
      <w:pPr>
        <w:tabs>
          <w:tab w:val="left" w:pos="0"/>
        </w:tabs>
        <w:ind w:left="0" w:firstLine="0"/>
      </w:pPr>
      <w:rPr>
        <w:rFonts w:hint="eastAsia"/>
      </w:rPr>
    </w:lvl>
    <w:lvl w:ilvl="7" w:tentative="0">
      <w:start w:val="1"/>
      <w:numFmt w:val="decimal"/>
      <w:lvlText w:val="%3.%4.%5.%6.%7.%8"/>
      <w:lvlJc w:val="left"/>
      <w:pPr>
        <w:tabs>
          <w:tab w:val="left" w:pos="0"/>
        </w:tabs>
        <w:ind w:left="0" w:firstLine="0"/>
      </w:pPr>
      <w:rPr>
        <w:rFonts w:hint="eastAsia"/>
      </w:rPr>
    </w:lvl>
    <w:lvl w:ilvl="8" w:tentative="0">
      <w:start w:val="1"/>
      <w:numFmt w:val="decimal"/>
      <w:lvlText w:val="%3.%4.%5.%6.%7.%8.%9"/>
      <w:lvlJc w:val="left"/>
      <w:pPr>
        <w:ind w:left="0" w:firstLine="0"/>
      </w:pPr>
      <w:rPr>
        <w:rFonts w:hint="eastAsia"/>
      </w:rPr>
    </w:lvl>
  </w:abstractNum>
  <w:num w:numId="1">
    <w:abstractNumId w:val="9"/>
  </w:num>
  <w:num w:numId="2">
    <w:abstractNumId w:val="3"/>
  </w:num>
  <w:num w:numId="3">
    <w:abstractNumId w:val="1"/>
  </w:num>
  <w:num w:numId="4">
    <w:abstractNumId w:val="5"/>
  </w:num>
  <w:num w:numId="5">
    <w:abstractNumId w:val="6"/>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8"/>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0637D9"/>
    <w:rsid w:val="000038EA"/>
    <w:rsid w:val="000226AB"/>
    <w:rsid w:val="00025BD8"/>
    <w:rsid w:val="000447EC"/>
    <w:rsid w:val="001A3E73"/>
    <w:rsid w:val="001F075F"/>
    <w:rsid w:val="00240DFC"/>
    <w:rsid w:val="002B5B69"/>
    <w:rsid w:val="00315ECC"/>
    <w:rsid w:val="00354BB7"/>
    <w:rsid w:val="00387DB1"/>
    <w:rsid w:val="003F02AF"/>
    <w:rsid w:val="004452C3"/>
    <w:rsid w:val="0057277F"/>
    <w:rsid w:val="005E4AE9"/>
    <w:rsid w:val="00636F50"/>
    <w:rsid w:val="007B3194"/>
    <w:rsid w:val="00824850"/>
    <w:rsid w:val="0084133E"/>
    <w:rsid w:val="008D64EC"/>
    <w:rsid w:val="008F2D32"/>
    <w:rsid w:val="009256F0"/>
    <w:rsid w:val="009772B1"/>
    <w:rsid w:val="00984E61"/>
    <w:rsid w:val="009D3DE4"/>
    <w:rsid w:val="00A50A12"/>
    <w:rsid w:val="00B15493"/>
    <w:rsid w:val="00B80EFD"/>
    <w:rsid w:val="00BA6A7B"/>
    <w:rsid w:val="00C43741"/>
    <w:rsid w:val="00C62C37"/>
    <w:rsid w:val="00CC72E3"/>
    <w:rsid w:val="00D50406"/>
    <w:rsid w:val="00DE0608"/>
    <w:rsid w:val="00E21D02"/>
    <w:rsid w:val="00E44E34"/>
    <w:rsid w:val="00E515CD"/>
    <w:rsid w:val="00F01A15"/>
    <w:rsid w:val="00F35F2A"/>
    <w:rsid w:val="00FA7506"/>
    <w:rsid w:val="0185377B"/>
    <w:rsid w:val="01A63685"/>
    <w:rsid w:val="01ED69B9"/>
    <w:rsid w:val="0274576E"/>
    <w:rsid w:val="03E91499"/>
    <w:rsid w:val="040E27E3"/>
    <w:rsid w:val="06BC5066"/>
    <w:rsid w:val="07DD49A7"/>
    <w:rsid w:val="085270A8"/>
    <w:rsid w:val="0AFC24F2"/>
    <w:rsid w:val="0B70451C"/>
    <w:rsid w:val="0C0E4DD5"/>
    <w:rsid w:val="0D7F805A"/>
    <w:rsid w:val="0DBB6912"/>
    <w:rsid w:val="0F3F1C1B"/>
    <w:rsid w:val="0F5F5CA1"/>
    <w:rsid w:val="10750159"/>
    <w:rsid w:val="10DF300B"/>
    <w:rsid w:val="12F72044"/>
    <w:rsid w:val="130848A2"/>
    <w:rsid w:val="13EB39D8"/>
    <w:rsid w:val="15046D91"/>
    <w:rsid w:val="15AD17B4"/>
    <w:rsid w:val="15DDB76E"/>
    <w:rsid w:val="16F1484A"/>
    <w:rsid w:val="16F969DB"/>
    <w:rsid w:val="17691540"/>
    <w:rsid w:val="17F04282"/>
    <w:rsid w:val="19B7B637"/>
    <w:rsid w:val="1A1A3838"/>
    <w:rsid w:val="1BDB469E"/>
    <w:rsid w:val="1C083ACB"/>
    <w:rsid w:val="1CEC7DC1"/>
    <w:rsid w:val="1E1B36DB"/>
    <w:rsid w:val="1E6416BE"/>
    <w:rsid w:val="1EBF63EB"/>
    <w:rsid w:val="1FAC5786"/>
    <w:rsid w:val="1FB721A6"/>
    <w:rsid w:val="1FC73DB2"/>
    <w:rsid w:val="1FEFF88F"/>
    <w:rsid w:val="206916EA"/>
    <w:rsid w:val="22C62973"/>
    <w:rsid w:val="23860F70"/>
    <w:rsid w:val="24545004"/>
    <w:rsid w:val="24967F5F"/>
    <w:rsid w:val="252C0F35"/>
    <w:rsid w:val="258A442B"/>
    <w:rsid w:val="26892ADB"/>
    <w:rsid w:val="27FF343F"/>
    <w:rsid w:val="2A312FCF"/>
    <w:rsid w:val="2A34012A"/>
    <w:rsid w:val="2AE337D3"/>
    <w:rsid w:val="2AFF24E3"/>
    <w:rsid w:val="2BC91088"/>
    <w:rsid w:val="2C8862B0"/>
    <w:rsid w:val="2CE17F35"/>
    <w:rsid w:val="2DFF285F"/>
    <w:rsid w:val="2DFF59CE"/>
    <w:rsid w:val="2E7A77A4"/>
    <w:rsid w:val="2EBF5BAC"/>
    <w:rsid w:val="2EEF4F87"/>
    <w:rsid w:val="2F280B6B"/>
    <w:rsid w:val="2F7C6AC3"/>
    <w:rsid w:val="2FBAC12C"/>
    <w:rsid w:val="2FEC3129"/>
    <w:rsid w:val="2FF8A226"/>
    <w:rsid w:val="314A2A8E"/>
    <w:rsid w:val="3279FEBC"/>
    <w:rsid w:val="33D437F7"/>
    <w:rsid w:val="36DB7D59"/>
    <w:rsid w:val="39BF481F"/>
    <w:rsid w:val="39FD3D77"/>
    <w:rsid w:val="3A9F5E88"/>
    <w:rsid w:val="3AAF55F3"/>
    <w:rsid w:val="3BD6DBAB"/>
    <w:rsid w:val="3BFF2CEF"/>
    <w:rsid w:val="3D0637D9"/>
    <w:rsid w:val="3D147B66"/>
    <w:rsid w:val="3D66EE11"/>
    <w:rsid w:val="3DC140EE"/>
    <w:rsid w:val="3DDA5A09"/>
    <w:rsid w:val="3DFBF3CF"/>
    <w:rsid w:val="3E7B7BD1"/>
    <w:rsid w:val="3EBF0B86"/>
    <w:rsid w:val="3FAA8E0C"/>
    <w:rsid w:val="3FBC8BBF"/>
    <w:rsid w:val="3FD71C4B"/>
    <w:rsid w:val="3FEFDBA2"/>
    <w:rsid w:val="3FFDF98A"/>
    <w:rsid w:val="42735513"/>
    <w:rsid w:val="43C93604"/>
    <w:rsid w:val="44066626"/>
    <w:rsid w:val="44EF6209"/>
    <w:rsid w:val="45BCF2AB"/>
    <w:rsid w:val="45DAA173"/>
    <w:rsid w:val="45E80121"/>
    <w:rsid w:val="46E75FA1"/>
    <w:rsid w:val="4763486D"/>
    <w:rsid w:val="489F5D2F"/>
    <w:rsid w:val="49384E4D"/>
    <w:rsid w:val="49BFF4A4"/>
    <w:rsid w:val="4AFA2438"/>
    <w:rsid w:val="4B7415E4"/>
    <w:rsid w:val="4BC216B3"/>
    <w:rsid w:val="4D7FFBC6"/>
    <w:rsid w:val="4E525235"/>
    <w:rsid w:val="4E75A051"/>
    <w:rsid w:val="4ED08FC1"/>
    <w:rsid w:val="4EF9CFF4"/>
    <w:rsid w:val="4FFF8769"/>
    <w:rsid w:val="500D4CCA"/>
    <w:rsid w:val="524C1EE8"/>
    <w:rsid w:val="53BF120D"/>
    <w:rsid w:val="53F01AFA"/>
    <w:rsid w:val="53F74B6D"/>
    <w:rsid w:val="55183B6A"/>
    <w:rsid w:val="55C44957"/>
    <w:rsid w:val="55FD99AC"/>
    <w:rsid w:val="55FF9722"/>
    <w:rsid w:val="56AF28E6"/>
    <w:rsid w:val="56CC6260"/>
    <w:rsid w:val="57334CA1"/>
    <w:rsid w:val="577FA775"/>
    <w:rsid w:val="57DB4FC4"/>
    <w:rsid w:val="57FD0D54"/>
    <w:rsid w:val="57FF31A0"/>
    <w:rsid w:val="58700413"/>
    <w:rsid w:val="58DD4276"/>
    <w:rsid w:val="58E72826"/>
    <w:rsid w:val="59262377"/>
    <w:rsid w:val="59316B6C"/>
    <w:rsid w:val="597AE186"/>
    <w:rsid w:val="5AD7DDFA"/>
    <w:rsid w:val="5B3E38EB"/>
    <w:rsid w:val="5C57B112"/>
    <w:rsid w:val="5CBA16B4"/>
    <w:rsid w:val="5DAE94A9"/>
    <w:rsid w:val="5E178916"/>
    <w:rsid w:val="5EF59285"/>
    <w:rsid w:val="5EF7A92A"/>
    <w:rsid w:val="5EFE151C"/>
    <w:rsid w:val="5F4D9031"/>
    <w:rsid w:val="5F6AE52A"/>
    <w:rsid w:val="5F7F7594"/>
    <w:rsid w:val="5F8B4726"/>
    <w:rsid w:val="5FBBFAC5"/>
    <w:rsid w:val="5FD7E953"/>
    <w:rsid w:val="5FEB94F3"/>
    <w:rsid w:val="60C304B3"/>
    <w:rsid w:val="60E52A59"/>
    <w:rsid w:val="616C4080"/>
    <w:rsid w:val="62440D2F"/>
    <w:rsid w:val="627806C9"/>
    <w:rsid w:val="63102F17"/>
    <w:rsid w:val="636CEB1B"/>
    <w:rsid w:val="640223E5"/>
    <w:rsid w:val="645C1B80"/>
    <w:rsid w:val="64A9326C"/>
    <w:rsid w:val="65C92DD5"/>
    <w:rsid w:val="664F3A78"/>
    <w:rsid w:val="66780B69"/>
    <w:rsid w:val="67103ED9"/>
    <w:rsid w:val="6747F0D9"/>
    <w:rsid w:val="67544A5E"/>
    <w:rsid w:val="67A05FCC"/>
    <w:rsid w:val="67BE3C49"/>
    <w:rsid w:val="67EB4285"/>
    <w:rsid w:val="68886DCF"/>
    <w:rsid w:val="6A5C684A"/>
    <w:rsid w:val="6A7B0896"/>
    <w:rsid w:val="6AD78B0F"/>
    <w:rsid w:val="6B4E179F"/>
    <w:rsid w:val="6B5D3DFC"/>
    <w:rsid w:val="6BBD25D2"/>
    <w:rsid w:val="6BFBC76E"/>
    <w:rsid w:val="6BFF85DE"/>
    <w:rsid w:val="6D3BD495"/>
    <w:rsid w:val="6EFFEB4A"/>
    <w:rsid w:val="6F15270D"/>
    <w:rsid w:val="6F5FCB30"/>
    <w:rsid w:val="6F7F61BD"/>
    <w:rsid w:val="6F9F234F"/>
    <w:rsid w:val="6FB96E91"/>
    <w:rsid w:val="6FCEF2A5"/>
    <w:rsid w:val="6FDB16D7"/>
    <w:rsid w:val="6FE857E9"/>
    <w:rsid w:val="6FF75CEA"/>
    <w:rsid w:val="6FFB98B0"/>
    <w:rsid w:val="6FFBF2F4"/>
    <w:rsid w:val="6FFE5D3D"/>
    <w:rsid w:val="724020EA"/>
    <w:rsid w:val="728B91FF"/>
    <w:rsid w:val="72CA4184"/>
    <w:rsid w:val="733C4DFB"/>
    <w:rsid w:val="7387AE89"/>
    <w:rsid w:val="75DF0BD1"/>
    <w:rsid w:val="75DF1865"/>
    <w:rsid w:val="75F50F93"/>
    <w:rsid w:val="75FF9978"/>
    <w:rsid w:val="75FFDB99"/>
    <w:rsid w:val="762DE6BF"/>
    <w:rsid w:val="76B52ED3"/>
    <w:rsid w:val="7783EA0D"/>
    <w:rsid w:val="77AC85A2"/>
    <w:rsid w:val="77BB726A"/>
    <w:rsid w:val="77BB9BC7"/>
    <w:rsid w:val="77E854E7"/>
    <w:rsid w:val="77FFA308"/>
    <w:rsid w:val="786E17CF"/>
    <w:rsid w:val="78E57CE3"/>
    <w:rsid w:val="79472330"/>
    <w:rsid w:val="79BD3993"/>
    <w:rsid w:val="79CED7EB"/>
    <w:rsid w:val="79FD7F77"/>
    <w:rsid w:val="7A4543A9"/>
    <w:rsid w:val="7ADFC961"/>
    <w:rsid w:val="7AF7AB4D"/>
    <w:rsid w:val="7AF9105B"/>
    <w:rsid w:val="7B32F7DF"/>
    <w:rsid w:val="7B67BF67"/>
    <w:rsid w:val="7B7FF611"/>
    <w:rsid w:val="7BD3FAB7"/>
    <w:rsid w:val="7BEF7F20"/>
    <w:rsid w:val="7BFAD009"/>
    <w:rsid w:val="7BFBD474"/>
    <w:rsid w:val="7BFF5481"/>
    <w:rsid w:val="7BFFDE3E"/>
    <w:rsid w:val="7C4933D6"/>
    <w:rsid w:val="7C535C65"/>
    <w:rsid w:val="7C778694"/>
    <w:rsid w:val="7D7D35B2"/>
    <w:rsid w:val="7D7FDD38"/>
    <w:rsid w:val="7DBB0401"/>
    <w:rsid w:val="7DBF7568"/>
    <w:rsid w:val="7DC69F13"/>
    <w:rsid w:val="7E0975D1"/>
    <w:rsid w:val="7E633C51"/>
    <w:rsid w:val="7E6FAADA"/>
    <w:rsid w:val="7E7669AF"/>
    <w:rsid w:val="7EBC7738"/>
    <w:rsid w:val="7ED747C5"/>
    <w:rsid w:val="7EF55E6F"/>
    <w:rsid w:val="7EFF902F"/>
    <w:rsid w:val="7EFFC057"/>
    <w:rsid w:val="7F343772"/>
    <w:rsid w:val="7F35A62D"/>
    <w:rsid w:val="7F364A0F"/>
    <w:rsid w:val="7F453289"/>
    <w:rsid w:val="7F57A47E"/>
    <w:rsid w:val="7F5E434B"/>
    <w:rsid w:val="7F602C14"/>
    <w:rsid w:val="7F671E5A"/>
    <w:rsid w:val="7F6B543F"/>
    <w:rsid w:val="7F737411"/>
    <w:rsid w:val="7F9559A4"/>
    <w:rsid w:val="7FA7C7AA"/>
    <w:rsid w:val="7FBAF442"/>
    <w:rsid w:val="7FD72CE3"/>
    <w:rsid w:val="7FDFFC8F"/>
    <w:rsid w:val="7FF39F37"/>
    <w:rsid w:val="7FF51223"/>
    <w:rsid w:val="7FF6DC77"/>
    <w:rsid w:val="7FF78C5E"/>
    <w:rsid w:val="7FFA5145"/>
    <w:rsid w:val="7FFD223E"/>
    <w:rsid w:val="7FFEFF71"/>
    <w:rsid w:val="7FFF3383"/>
    <w:rsid w:val="7FFF6050"/>
    <w:rsid w:val="99FF0545"/>
    <w:rsid w:val="9FBE6DAA"/>
    <w:rsid w:val="A32981AE"/>
    <w:rsid w:val="A579D969"/>
    <w:rsid w:val="A7FD9AB5"/>
    <w:rsid w:val="ACDEBC7C"/>
    <w:rsid w:val="AE2FB211"/>
    <w:rsid w:val="AFB7831D"/>
    <w:rsid w:val="B37926D0"/>
    <w:rsid w:val="B4F72925"/>
    <w:rsid w:val="B4FDE769"/>
    <w:rsid w:val="B5FFD9A7"/>
    <w:rsid w:val="B7F72088"/>
    <w:rsid w:val="B92FB8F1"/>
    <w:rsid w:val="BB5EEBDC"/>
    <w:rsid w:val="BBDE8C1C"/>
    <w:rsid w:val="BBDF7C51"/>
    <w:rsid w:val="BBFF9EEA"/>
    <w:rsid w:val="BDBB320E"/>
    <w:rsid w:val="BDBB7CBC"/>
    <w:rsid w:val="BECEBC49"/>
    <w:rsid w:val="BFB1707C"/>
    <w:rsid w:val="C5EF4E20"/>
    <w:rsid w:val="C7EF38AE"/>
    <w:rsid w:val="C7F642E4"/>
    <w:rsid w:val="CBAE459C"/>
    <w:rsid w:val="CED92741"/>
    <w:rsid w:val="CF37AF3B"/>
    <w:rsid w:val="CFBE8833"/>
    <w:rsid w:val="D6FDE735"/>
    <w:rsid w:val="D7FD39E3"/>
    <w:rsid w:val="D7FF362B"/>
    <w:rsid w:val="D9E2900A"/>
    <w:rsid w:val="DADEE745"/>
    <w:rsid w:val="DC6D41F5"/>
    <w:rsid w:val="DDF3F1F4"/>
    <w:rsid w:val="DE37C4EB"/>
    <w:rsid w:val="DEDFABE2"/>
    <w:rsid w:val="DF6CCE14"/>
    <w:rsid w:val="DF6F4AC7"/>
    <w:rsid w:val="DFAD0FCF"/>
    <w:rsid w:val="DFF7F5AA"/>
    <w:rsid w:val="E5D72E21"/>
    <w:rsid w:val="E7B60110"/>
    <w:rsid w:val="E7FF0257"/>
    <w:rsid w:val="EAFF3206"/>
    <w:rsid w:val="EB2DE597"/>
    <w:rsid w:val="EBF31D6F"/>
    <w:rsid w:val="ECE73C96"/>
    <w:rsid w:val="EDEE9C6D"/>
    <w:rsid w:val="EEFF5134"/>
    <w:rsid w:val="EF2FA6C9"/>
    <w:rsid w:val="EF2FFA46"/>
    <w:rsid w:val="EF7F1993"/>
    <w:rsid w:val="EFAF1742"/>
    <w:rsid w:val="EFBB30EA"/>
    <w:rsid w:val="EFBE8A34"/>
    <w:rsid w:val="EFDDF6F1"/>
    <w:rsid w:val="EFED88AF"/>
    <w:rsid w:val="EFF16EF0"/>
    <w:rsid w:val="EFFB3C7F"/>
    <w:rsid w:val="F1D6E1A1"/>
    <w:rsid w:val="F558F1E2"/>
    <w:rsid w:val="F57AA4CC"/>
    <w:rsid w:val="F5E7B4AA"/>
    <w:rsid w:val="F6E7AAA4"/>
    <w:rsid w:val="F6F73444"/>
    <w:rsid w:val="F75F22D3"/>
    <w:rsid w:val="F7FD6519"/>
    <w:rsid w:val="F7FE79D1"/>
    <w:rsid w:val="F9C62510"/>
    <w:rsid w:val="F9EF4CBD"/>
    <w:rsid w:val="FB7FB30F"/>
    <w:rsid w:val="FBA6BE3A"/>
    <w:rsid w:val="FBBFC0F8"/>
    <w:rsid w:val="FBDB59F5"/>
    <w:rsid w:val="FBFB9E3B"/>
    <w:rsid w:val="FBFED0D9"/>
    <w:rsid w:val="FCEF2795"/>
    <w:rsid w:val="FCF42C6F"/>
    <w:rsid w:val="FD1BCEA4"/>
    <w:rsid w:val="FD7BCA72"/>
    <w:rsid w:val="FDCF99EF"/>
    <w:rsid w:val="FE3D99BB"/>
    <w:rsid w:val="FEB3937C"/>
    <w:rsid w:val="FEBFC0DA"/>
    <w:rsid w:val="FEF565FB"/>
    <w:rsid w:val="FF3AD54B"/>
    <w:rsid w:val="FF77DBA6"/>
    <w:rsid w:val="FF9B9AA3"/>
    <w:rsid w:val="FFAFBB23"/>
    <w:rsid w:val="FFBDC3A8"/>
    <w:rsid w:val="FFBFE8DC"/>
    <w:rsid w:val="FFBFEC28"/>
    <w:rsid w:val="FFEC8860"/>
    <w:rsid w:val="FFF78966"/>
    <w:rsid w:val="FFF7B91E"/>
    <w:rsid w:val="FFF93265"/>
    <w:rsid w:val="FFFAD11D"/>
    <w:rsid w:val="FFFC7008"/>
    <w:rsid w:val="FFFF07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 w:line="360" w:lineRule="auto"/>
      <w:jc w:val="both"/>
    </w:pPr>
    <w:rPr>
      <w:rFonts w:eastAsia="仿宋"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spacing w:before="157" w:beforeLines="50"/>
      <w:outlineLvl w:val="0"/>
    </w:pPr>
    <w:rPr>
      <w:rFonts w:ascii="黑体" w:hAnsi="黑体" w:eastAsia="黑体"/>
      <w:b/>
      <w:kern w:val="44"/>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9"/>
    <w:qFormat/>
    <w:uiPriority w:val="0"/>
    <w:pPr>
      <w:spacing w:before="0" w:line="240" w:lineRule="auto"/>
    </w:pPr>
    <w:rPr>
      <w:sz w:val="18"/>
      <w:szCs w:val="18"/>
    </w:rPr>
  </w:style>
  <w:style w:type="paragraph" w:styleId="5">
    <w:name w:val="footer"/>
    <w:basedOn w:val="1"/>
    <w:link w:val="21"/>
    <w:uiPriority w:val="0"/>
    <w:pPr>
      <w:tabs>
        <w:tab w:val="center" w:pos="4153"/>
        <w:tab w:val="right" w:pos="8306"/>
      </w:tabs>
      <w:snapToGrid w:val="0"/>
      <w:spacing w:line="240" w:lineRule="auto"/>
      <w:jc w:val="left"/>
    </w:pPr>
    <w:rPr>
      <w:sz w:val="18"/>
      <w:szCs w:val="18"/>
    </w:rPr>
  </w:style>
  <w:style w:type="paragraph" w:styleId="6">
    <w:name w:val="header"/>
    <w:basedOn w:val="1"/>
    <w:qFormat/>
    <w:uiPriority w:val="99"/>
    <w:pPr>
      <w:snapToGrid w:val="0"/>
      <w:jc w:val="center"/>
    </w:pPr>
    <w:rPr>
      <w:rFonts w:ascii="Times New Roman" w:hAnsi="Times New Roman" w:eastAsia="宋体" w:cs="Times New Roman"/>
      <w:sz w:val="18"/>
      <w:szCs w:val="18"/>
    </w:rPr>
  </w:style>
  <w:style w:type="paragraph" w:styleId="7">
    <w:name w:val="toc 1"/>
    <w:basedOn w:val="1"/>
    <w:next w:val="1"/>
    <w:qFormat/>
    <w:uiPriority w:val="0"/>
  </w:style>
  <w:style w:type="paragraph" w:styleId="8">
    <w:name w:val="annotation subject"/>
    <w:basedOn w:val="3"/>
    <w:next w:val="3"/>
    <w:link w:val="18"/>
    <w:uiPriority w:val="0"/>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font21"/>
    <w:basedOn w:val="11"/>
    <w:qFormat/>
    <w:uiPriority w:val="0"/>
    <w:rPr>
      <w:rFonts w:hint="eastAsia" w:ascii="宋体" w:hAnsi="宋体" w:eastAsia="宋体" w:cs="宋体"/>
      <w:color w:val="000000"/>
      <w:sz w:val="24"/>
      <w:szCs w:val="24"/>
      <w:u w:val="single"/>
    </w:rPr>
  </w:style>
  <w:style w:type="character" w:customStyle="1" w:styleId="16">
    <w:name w:val="font11"/>
    <w:basedOn w:val="11"/>
    <w:qFormat/>
    <w:uiPriority w:val="0"/>
    <w:rPr>
      <w:rFonts w:hint="eastAsia" w:ascii="宋体" w:hAnsi="宋体" w:eastAsia="宋体" w:cs="宋体"/>
      <w:color w:val="000000"/>
      <w:sz w:val="24"/>
      <w:szCs w:val="24"/>
      <w:u w:val="none"/>
    </w:rPr>
  </w:style>
  <w:style w:type="character" w:customStyle="1" w:styleId="17">
    <w:name w:val="批注文字 字符"/>
    <w:basedOn w:val="11"/>
    <w:link w:val="3"/>
    <w:qFormat/>
    <w:uiPriority w:val="0"/>
    <w:rPr>
      <w:rFonts w:eastAsia="仿宋" w:asciiTheme="minorHAnsi" w:hAnsiTheme="minorHAnsi" w:cstheme="minorBidi"/>
      <w:kern w:val="2"/>
      <w:sz w:val="24"/>
      <w:szCs w:val="24"/>
    </w:rPr>
  </w:style>
  <w:style w:type="character" w:customStyle="1" w:styleId="18">
    <w:name w:val="批注主题 字符"/>
    <w:basedOn w:val="17"/>
    <w:link w:val="8"/>
    <w:qFormat/>
    <w:uiPriority w:val="0"/>
    <w:rPr>
      <w:rFonts w:eastAsia="仿宋" w:asciiTheme="minorHAnsi" w:hAnsiTheme="minorHAnsi" w:cstheme="minorBidi"/>
      <w:b/>
      <w:bCs/>
      <w:kern w:val="2"/>
      <w:sz w:val="24"/>
      <w:szCs w:val="24"/>
    </w:rPr>
  </w:style>
  <w:style w:type="character" w:customStyle="1" w:styleId="19">
    <w:name w:val="批注框文本 字符"/>
    <w:basedOn w:val="11"/>
    <w:link w:val="4"/>
    <w:qFormat/>
    <w:uiPriority w:val="0"/>
    <w:rPr>
      <w:rFonts w:eastAsia="仿宋" w:asciiTheme="minorHAnsi" w:hAnsiTheme="minorHAnsi" w:cstheme="minorBidi"/>
      <w:kern w:val="2"/>
      <w:sz w:val="18"/>
      <w:szCs w:val="18"/>
    </w:rPr>
  </w:style>
  <w:style w:type="paragraph" w:customStyle="1" w:styleId="20">
    <w:name w:val="Revision"/>
    <w:hidden/>
    <w:unhideWhenUsed/>
    <w:qFormat/>
    <w:uiPriority w:val="99"/>
    <w:rPr>
      <w:rFonts w:eastAsia="仿宋" w:asciiTheme="minorHAnsi" w:hAnsiTheme="minorHAnsi" w:cstheme="minorBidi"/>
      <w:kern w:val="2"/>
      <w:sz w:val="24"/>
      <w:szCs w:val="24"/>
      <w:lang w:val="en-US" w:eastAsia="zh-CN" w:bidi="ar-SA"/>
    </w:rPr>
  </w:style>
  <w:style w:type="character" w:customStyle="1" w:styleId="21">
    <w:name w:val="页脚 字符"/>
    <w:basedOn w:val="11"/>
    <w:link w:val="5"/>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8034</Words>
  <Characters>8294</Characters>
  <Lines>176</Lines>
  <Paragraphs>49</Paragraphs>
  <TotalTime>61</TotalTime>
  <ScaleCrop>false</ScaleCrop>
  <LinksUpToDate>false</LinksUpToDate>
  <CharactersWithSpaces>8500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2026-04-24T00:48:00Z</dcterms:created>
  <dc:creator>L</dc:creator>
  <cp:lastModifiedBy>李骁楠</cp:lastModifiedBy>
  <dcterms:modified xsi:type="dcterms:W3CDTF">2026-07-10T04:17:27Z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ECC42635DF68A5A9F342E86901DC5030_43</vt:lpwstr>
  </property>
  <property fmtid="{D5CDD505-2E9C-101B-9397-08002B2CF9AE}" pid="4" name="KSOTemplateDocerSaveRecord">
    <vt:lpwstr>eyJoZGlkIjoiNjM4OGE1Yzg2MGQ1ZWRjMzM2ZTI4MmI0Mjc5YzZhMTAiLCJ1c2VySWQiOiIxNzE3NjQ0Mzc0In0=</vt:lpwstr>
  </property>
  <property fmtid="{D5CDD505-2E9C-101B-9397-08002B2CF9AE}" pid="5" name="woTemplateTypoMode" linkTarget="0">
    <vt:lpwstr/>
  </property>
  <property fmtid="{D5CDD505-2E9C-101B-9397-08002B2CF9AE}" pid="6" name="woTemplate" linkTarget="0">
    <vt:i4>0</vt:i4>
  </property>
</Properties>
</file>